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5DAD3632" w:rsidP="15081C91" w:rsidRDefault="5DAD3632" w14:paraId="5DFB2751" w14:textId="6C832506">
      <w:pPr>
        <w:pStyle w:val="Title"/>
        <w:spacing w:before="0"/>
        <w:rPr>
          <w:rFonts w:ascii="Calibri" w:hAnsi="Calibri" w:eastAsia="Calibri" w:cs="Calibri" w:asciiTheme="majorAscii" w:hAnsiTheme="majorAscii" w:eastAsiaTheme="majorAscii" w:cstheme="majorAscii"/>
          <w:noProof w:val="0"/>
          <w:sz w:val="44"/>
          <w:szCs w:val="44"/>
          <w:lang w:val="fr-CA"/>
        </w:rPr>
      </w:pPr>
      <w:r w:rsidRPr="15081C91" w:rsidR="5DAD3632">
        <w:rPr>
          <w:rFonts w:ascii="Calibri" w:hAnsi="Calibri" w:eastAsia="Calibri" w:cs="Calibri" w:asciiTheme="majorAscii" w:hAnsiTheme="majorAscii" w:eastAsiaTheme="majorAscii" w:cstheme="majorAscii"/>
          <w:b w:val="0"/>
          <w:bCs w:val="0"/>
          <w:noProof w:val="0"/>
          <w:color w:val="008CBE"/>
          <w:sz w:val="44"/>
          <w:szCs w:val="44"/>
          <w:lang w:val="fr-CA"/>
        </w:rPr>
        <w:t>Créer de l’enthousiasme pour l’exploration des données :</w:t>
      </w:r>
      <w:r w:rsidRPr="15081C91" w:rsidR="6DCB3B84">
        <w:rPr>
          <w:rFonts w:ascii="Calibri" w:hAnsi="Calibri" w:eastAsia="Calibri" w:cs="Calibri" w:asciiTheme="majorAscii" w:hAnsiTheme="majorAscii" w:eastAsiaTheme="majorAscii" w:cstheme="majorAscii"/>
          <w:b w:val="0"/>
          <w:bCs w:val="0"/>
          <w:noProof w:val="0"/>
          <w:color w:val="008CBE"/>
          <w:sz w:val="44"/>
          <w:szCs w:val="44"/>
          <w:lang w:val="fr-CA"/>
        </w:rPr>
        <w:t xml:space="preserve"> </w:t>
      </w:r>
    </w:p>
    <w:p w:rsidR="5DAD3632" w:rsidP="776FB723" w:rsidRDefault="5DAD3632" w14:paraId="25D72417" w14:textId="6E38F272">
      <w:pPr>
        <w:pStyle w:val="Title"/>
        <w:spacing w:before="0"/>
        <w:rPr>
          <w:rFonts w:ascii="Calibri" w:hAnsi="Calibri" w:eastAsia="Calibri" w:cs="Calibri" w:asciiTheme="majorAscii" w:hAnsiTheme="majorAscii" w:eastAsiaTheme="majorAscii" w:cstheme="majorAscii"/>
          <w:noProof w:val="0"/>
          <w:sz w:val="44"/>
          <w:szCs w:val="44"/>
          <w:lang w:val="fr-CA"/>
        </w:rPr>
      </w:pPr>
      <w:r w:rsidRPr="15081C91" w:rsidR="6DCB3B84">
        <w:rPr>
          <w:rFonts w:ascii="Calibri" w:hAnsi="Calibri" w:eastAsia="Calibri" w:cs="Calibri" w:asciiTheme="majorAscii" w:hAnsiTheme="majorAscii" w:eastAsiaTheme="majorAscii" w:cstheme="majorAscii"/>
          <w:b w:val="0"/>
          <w:bCs w:val="0"/>
          <w:noProof w:val="0"/>
          <w:color w:val="008CBE"/>
          <w:sz w:val="44"/>
          <w:szCs w:val="44"/>
          <w:lang w:val="fr-CA"/>
        </w:rPr>
        <w:t>Exploration des données par les élèves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448"/>
        <w:gridCol w:w="9197"/>
      </w:tblGrid>
      <w:tr w:rsidR="7B26BE8F" w:rsidTr="602056CA" w14:paraId="576D5904">
        <w:trPr>
          <w:trHeight w:val="2250"/>
        </w:trPr>
        <w:tc>
          <w:tcPr>
            <w:tcW w:w="3448" w:type="dxa"/>
            <w:tcBorders>
              <w:top w:val="nil"/>
              <w:left w:val="nil"/>
              <w:bottom w:val="nil"/>
              <w:right w:val="nil"/>
            </w:tcBorders>
            <w:tcMar>
              <w:left w:w="240" w:type="dxa"/>
              <w:right w:w="105" w:type="dxa"/>
            </w:tcMar>
            <w:vAlign w:val="top"/>
          </w:tcPr>
          <w:p w:rsidR="0A477A0C" w:rsidP="7B26BE8F" w:rsidRDefault="0A477A0C" w14:paraId="278BFA4F" w14:textId="7B8441E8">
            <w:pPr>
              <w:spacing w:before="0" w:beforeAutospacing="off" w:after="160" w:afterAutospacing="off" w:line="257" w:lineRule="auto"/>
              <w:ind w:left="0" w:right="-15"/>
              <w:rPr>
                <w:rFonts w:ascii="Calibri Light" w:hAnsi="Calibri Light" w:eastAsia="Calibri Light" w:cs="Calibri Light"/>
                <w:b w:val="0"/>
                <w:bCs w:val="0"/>
                <w:i w:val="0"/>
                <w:iCs w:val="0"/>
                <w:caps w:val="0"/>
                <w:smallCaps w:val="0"/>
                <w:noProof w:val="0"/>
                <w:color w:val="008CBE"/>
                <w:sz w:val="28"/>
                <w:szCs w:val="28"/>
                <w:lang w:val="fr-CA"/>
              </w:rPr>
            </w:pPr>
            <w:r w:rsidR="0A477A0C">
              <w:drawing>
                <wp:inline wp14:editId="14799CAE" wp14:anchorId="4CE63EE8">
                  <wp:extent cx="600075" cy="381000"/>
                  <wp:effectExtent l="0" t="0" r="0" b="0"/>
                  <wp:docPr id="7827704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82770473" name="Picture 78277047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6751189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600075" cy="381000"/>
                          </a:xfrm>
                          <a:prstGeom xmlns:a="http://schemas.openxmlformats.org/drawingml/2006/main" prst="rect">
                            <a:avLst xmlns:a="http://schemas.openxmlformats.org/drawingml/2006/main"/>
                          </a:prstGeom>
                        </pic:spPr>
                      </pic:pic>
                    </a:graphicData>
                  </a:graphic>
                </wp:inline>
              </w:drawing>
            </w:r>
            <w:r w:rsidRPr="7B26BE8F" w:rsidR="7B26BE8F">
              <w:rPr>
                <w:rFonts w:ascii="Calibri Light" w:hAnsi="Calibri Light" w:eastAsia="Calibri Light" w:cs="Calibri Light"/>
                <w:b w:val="0"/>
                <w:bCs w:val="0"/>
                <w:i w:val="0"/>
                <w:iCs w:val="0"/>
                <w:caps w:val="0"/>
                <w:smallCaps w:val="0"/>
                <w:noProof w:val="0"/>
                <w:color w:val="008CBE"/>
                <w:sz w:val="28"/>
                <w:szCs w:val="28"/>
                <w:lang w:val="fr-CA"/>
              </w:rPr>
              <w:t xml:space="preserve">  Public </w:t>
            </w:r>
            <w:r w:rsidRPr="7B26BE8F" w:rsidR="7B26BE8F">
              <w:rPr>
                <w:rFonts w:ascii="Calibri Light" w:hAnsi="Calibri Light" w:eastAsia="Calibri Light" w:cs="Calibri Light"/>
                <w:b w:val="0"/>
                <w:bCs w:val="0"/>
                <w:i w:val="0"/>
                <w:iCs w:val="0"/>
                <w:caps w:val="0"/>
                <w:smallCaps w:val="0"/>
                <w:noProof w:val="0"/>
                <w:color w:val="008CBE"/>
                <w:sz w:val="28"/>
                <w:szCs w:val="28"/>
                <w:lang w:val="fr-CA"/>
              </w:rPr>
              <w:t>cible</w:t>
            </w:r>
          </w:p>
          <w:p w:rsidR="7B26BE8F" w:rsidP="602056CA" w:rsidRDefault="7B26BE8F" w14:paraId="05AB85B7" w14:textId="47E15C8E">
            <w:pPr>
              <w:rPr>
                <w:rFonts w:ascii="Calibri Light" w:hAnsi="Calibri Light" w:eastAsia="Calibri Light" w:cs="Calibri Light"/>
                <w:b w:val="0"/>
                <w:bCs w:val="0"/>
                <w:i w:val="0"/>
                <w:iCs w:val="0"/>
                <w:caps w:val="0"/>
                <w:smallCaps w:val="0"/>
                <w:noProof w:val="0"/>
                <w:color w:val="000000" w:themeColor="text1" w:themeTint="FF" w:themeShade="FF"/>
                <w:sz w:val="20"/>
                <w:szCs w:val="20"/>
                <w:lang w:val="fr-CA"/>
              </w:rPr>
            </w:pPr>
            <w:r w:rsidRPr="602056CA" w:rsidR="7CC23291">
              <w:rPr>
                <w:rFonts w:ascii="Calibri" w:hAnsi="Calibri" w:eastAsia="Calibri" w:cs="Calibri"/>
                <w:b w:val="0"/>
                <w:bCs w:val="0"/>
                <w:i w:val="0"/>
                <w:iCs w:val="0"/>
                <w:caps w:val="0"/>
                <w:smallCaps w:val="0"/>
                <w:noProof w:val="0"/>
                <w:color w:val="000000" w:themeColor="text1" w:themeTint="FF" w:themeShade="FF"/>
                <w:sz w:val="22"/>
                <w:szCs w:val="22"/>
                <w:lang w:val="fr-CA"/>
              </w:rPr>
              <w:t xml:space="preserve">  </w:t>
            </w:r>
            <w:r w:rsidRPr="602056CA" w:rsidR="7CC23291">
              <w:rPr>
                <w:rFonts w:ascii="Calibri Light" w:hAnsi="Calibri Light" w:eastAsia="Calibri Light" w:cs="Calibri Light"/>
                <w:b w:val="0"/>
                <w:bCs w:val="0"/>
                <w:i w:val="0"/>
                <w:iCs w:val="0"/>
                <w:caps w:val="0"/>
                <w:smallCaps w:val="0"/>
                <w:noProof w:val="0"/>
                <w:color w:val="000000" w:themeColor="text1" w:themeTint="FF" w:themeShade="FF"/>
                <w:sz w:val="28"/>
                <w:szCs w:val="28"/>
                <w:lang w:val="fr-CA"/>
              </w:rPr>
              <w:t xml:space="preserve"> </w:t>
            </w:r>
            <w:r w:rsidRPr="602056CA" w:rsidR="6411446A">
              <w:rPr>
                <w:rFonts w:ascii="Calibri Light" w:hAnsi="Calibri Light" w:eastAsia="Calibri Light" w:cs="Calibri Light"/>
                <w:b w:val="0"/>
                <w:bCs w:val="0"/>
                <w:i w:val="0"/>
                <w:iCs w:val="0"/>
                <w:caps w:val="0"/>
                <w:smallCaps w:val="0"/>
                <w:noProof w:val="0"/>
                <w:color w:val="000000" w:themeColor="text1" w:themeTint="FF" w:themeShade="FF"/>
                <w:sz w:val="28"/>
                <w:szCs w:val="28"/>
                <w:lang w:val="fr-CA"/>
              </w:rPr>
              <w:t>Élèves</w:t>
            </w:r>
            <w:r w:rsidRPr="602056CA" w:rsidR="6411446A">
              <w:rPr>
                <w:rFonts w:ascii="Calibri Light" w:hAnsi="Calibri Light" w:eastAsia="Calibri Light" w:cs="Calibri Light"/>
                <w:b w:val="0"/>
                <w:bCs w:val="0"/>
                <w:i w:val="0"/>
                <w:iCs w:val="0"/>
                <w:caps w:val="0"/>
                <w:smallCaps w:val="0"/>
                <w:noProof w:val="0"/>
                <w:color w:val="000000" w:themeColor="text1" w:themeTint="FF" w:themeShade="FF"/>
                <w:sz w:val="28"/>
                <w:szCs w:val="28"/>
                <w:lang w:val="fr-CA"/>
              </w:rPr>
              <w:t xml:space="preserve"> du </w:t>
            </w:r>
            <w:r w:rsidRPr="602056CA" w:rsidR="6411446A">
              <w:rPr>
                <w:rFonts w:ascii="Calibri Light" w:hAnsi="Calibri Light" w:eastAsia="Calibri Light" w:cs="Calibri Light"/>
                <w:b w:val="0"/>
                <w:bCs w:val="0"/>
                <w:i w:val="0"/>
                <w:iCs w:val="0"/>
                <w:caps w:val="0"/>
                <w:smallCaps w:val="0"/>
                <w:noProof w:val="0"/>
                <w:color w:val="000000" w:themeColor="text1" w:themeTint="FF" w:themeShade="FF"/>
                <w:sz w:val="28"/>
                <w:szCs w:val="28"/>
                <w:lang w:val="fr-CA"/>
              </w:rPr>
              <w:t>secondaire</w:t>
            </w:r>
          </w:p>
        </w:tc>
        <w:tc>
          <w:tcPr>
            <w:tcW w:w="9197" w:type="dxa"/>
            <w:tcBorders>
              <w:top w:val="nil"/>
              <w:left w:val="nil"/>
              <w:bottom w:val="nil"/>
              <w:right w:val="nil"/>
            </w:tcBorders>
            <w:tcMar>
              <w:left w:w="240" w:type="dxa"/>
              <w:right w:w="105" w:type="dxa"/>
            </w:tcMar>
            <w:vAlign w:val="top"/>
          </w:tcPr>
          <w:p w:rsidR="0A477A0C" w:rsidP="7B26BE8F" w:rsidRDefault="0A477A0C" w14:paraId="28D9776B" w14:textId="16180375">
            <w:pPr>
              <w:spacing w:before="0" w:beforeAutospacing="off" w:after="160" w:afterAutospacing="off" w:line="257" w:lineRule="auto"/>
              <w:ind w:left="0" w:right="0"/>
              <w:rPr>
                <w:rFonts w:ascii="Calibri Light" w:hAnsi="Calibri Light" w:eastAsia="Calibri Light" w:cs="Calibri Light"/>
                <w:b w:val="0"/>
                <w:bCs w:val="0"/>
                <w:i w:val="0"/>
                <w:iCs w:val="0"/>
                <w:caps w:val="0"/>
                <w:smallCaps w:val="0"/>
                <w:noProof w:val="0"/>
                <w:color w:val="008CBE"/>
                <w:sz w:val="28"/>
                <w:szCs w:val="28"/>
                <w:lang w:val="fr-CA"/>
              </w:rPr>
            </w:pPr>
            <w:r w:rsidR="0A477A0C">
              <w:drawing>
                <wp:inline wp14:editId="698603BE" wp14:anchorId="0EF5BC37">
                  <wp:extent cx="400050" cy="400050"/>
                  <wp:effectExtent l="0" t="0" r="0" b="0"/>
                  <wp:docPr id="14526986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52698642" name="Picture 145269864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6644399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00050" cy="400050"/>
                          </a:xfrm>
                          <a:prstGeom xmlns:a="http://schemas.openxmlformats.org/drawingml/2006/main" prst="rect">
                            <a:avLst xmlns:a="http://schemas.openxmlformats.org/drawingml/2006/main"/>
                          </a:prstGeom>
                        </pic:spPr>
                      </pic:pic>
                    </a:graphicData>
                  </a:graphic>
                </wp:inline>
              </w:drawing>
            </w:r>
            <w:r w:rsidRPr="7B26BE8F" w:rsidR="7B26BE8F">
              <w:rPr>
                <w:rFonts w:ascii="Calibri Light" w:hAnsi="Calibri Light" w:eastAsia="Calibri Light" w:cs="Calibri Light"/>
                <w:b w:val="0"/>
                <w:bCs w:val="0"/>
                <w:i w:val="0"/>
                <w:iCs w:val="0"/>
                <w:caps w:val="0"/>
                <w:smallCaps w:val="0"/>
                <w:noProof w:val="0"/>
                <w:color w:val="008CBE"/>
                <w:sz w:val="28"/>
                <w:szCs w:val="28"/>
                <w:lang w:val="fr-CA"/>
              </w:rPr>
              <w:t xml:space="preserve">   Utilisation </w:t>
            </w:r>
            <w:r w:rsidRPr="7B26BE8F" w:rsidR="7B26BE8F">
              <w:rPr>
                <w:rFonts w:ascii="Calibri Light" w:hAnsi="Calibri Light" w:eastAsia="Calibri Light" w:cs="Calibri Light"/>
                <w:b w:val="0"/>
                <w:bCs w:val="0"/>
                <w:i w:val="0"/>
                <w:iCs w:val="0"/>
                <w:caps w:val="0"/>
                <w:smallCaps w:val="0"/>
                <w:noProof w:val="0"/>
                <w:color w:val="008CBE"/>
                <w:sz w:val="28"/>
                <w:szCs w:val="28"/>
                <w:lang w:val="fr-CA"/>
              </w:rPr>
              <w:t>prévue</w:t>
            </w:r>
          </w:p>
          <w:p w:rsidR="192AEBF3" w:rsidP="7B26BE8F" w:rsidRDefault="192AEBF3" w14:paraId="64FDF0D0" w14:textId="733DEAEE">
            <w:pPr>
              <w:spacing w:before="0" w:beforeAutospacing="off" w:after="0" w:afterAutospacing="off" w:line="300" w:lineRule="auto"/>
              <w:rPr>
                <w:rFonts w:ascii="Calibri" w:hAnsi="Calibri" w:eastAsia="Calibri" w:cs="Calibri" w:asciiTheme="majorAscii" w:hAnsiTheme="majorAscii" w:eastAsiaTheme="majorAscii" w:cstheme="majorAscii"/>
                <w:b w:val="0"/>
                <w:bCs w:val="0"/>
                <w:i w:val="0"/>
                <w:iCs w:val="0"/>
                <w:noProof w:val="0"/>
                <w:sz w:val="20"/>
                <w:szCs w:val="20"/>
                <w:lang w:val="fr-CA"/>
              </w:rPr>
            </w:pPr>
            <w:r w:rsidRPr="7B26BE8F" w:rsidR="192AEBF3">
              <w:rPr>
                <w:rFonts w:ascii="Calibri" w:hAnsi="Calibri" w:eastAsia="Calibri" w:cs="Calibri" w:asciiTheme="majorAscii" w:hAnsiTheme="majorAscii" w:eastAsiaTheme="majorAscii" w:cstheme="majorAscii"/>
                <w:b w:val="0"/>
                <w:bCs w:val="0"/>
                <w:i w:val="0"/>
                <w:iCs w:val="0"/>
                <w:noProof w:val="0"/>
                <w:sz w:val="20"/>
                <w:szCs w:val="20"/>
                <w:lang w:val="fr-CA"/>
              </w:rPr>
              <w:t xml:space="preserve">La démarche d’exploration des données commence par la formulation de prédictions sur ce que vous trouverez dans vos données. Le fait de formuler des prédictions suscite la curiosité et crée de l’enthousiasme à l’idée d’analyser vos données. Gardez à l’esprit que les prédictions sont différentes des hypothèses, car les prédictions seront visibles dans vos </w:t>
            </w:r>
            <w:bookmarkStart w:name="_Int_2Rzd8eLp" w:id="399503286"/>
            <w:r w:rsidRPr="7B26BE8F" w:rsidR="192AEBF3">
              <w:rPr>
                <w:rFonts w:ascii="Calibri" w:hAnsi="Calibri" w:eastAsia="Calibri" w:cs="Calibri" w:asciiTheme="majorAscii" w:hAnsiTheme="majorAscii" w:eastAsiaTheme="majorAscii" w:cstheme="majorAscii"/>
                <w:b w:val="0"/>
                <w:bCs w:val="0"/>
                <w:i w:val="0"/>
                <w:iCs w:val="0"/>
                <w:noProof w:val="0"/>
                <w:sz w:val="20"/>
                <w:szCs w:val="20"/>
                <w:lang w:val="fr-CA"/>
              </w:rPr>
              <w:t>données!</w:t>
            </w:r>
            <w:bookmarkEnd w:id="399503286"/>
          </w:p>
        </w:tc>
      </w:tr>
    </w:tbl>
    <w:tbl>
      <w:tblPr>
        <w:tblW w:w="13036" w:type="dxa"/>
        <w:tblCellSpacing w:w="15" w:type="dxa"/>
        <w:tblCellMar>
          <w:top w:w="15" w:type="dxa"/>
          <w:left w:w="15" w:type="dxa"/>
          <w:bottom w:w="15" w:type="dxa"/>
          <w:right w:w="15" w:type="dxa"/>
        </w:tblCellMar>
        <w:tblLook w:val="04A0" w:firstRow="1" w:lastRow="0" w:firstColumn="1" w:lastColumn="0" w:noHBand="0" w:noVBand="1"/>
      </w:tblPr>
      <w:tblGrid>
        <w:gridCol w:w="4256"/>
        <w:gridCol w:w="4380"/>
        <w:gridCol w:w="4400"/>
      </w:tblGrid>
      <w:tr w:rsidRPr="00963871" w:rsidR="00963871" w:rsidTr="7B26BE8F" w14:paraId="33DDB7D1" w14:textId="77777777">
        <w:trPr>
          <w:trHeight w:val="432"/>
          <w:tblCellSpacing w:w="15" w:type="dxa"/>
        </w:trPr>
        <w:tc>
          <w:tcPr>
            <w:tcW w:w="4248" w:type="dxa"/>
            <w:tcBorders>
              <w:top w:val="single" w:color="000000" w:themeColor="text1" w:sz="8" w:space="0"/>
              <w:left w:val="single" w:color="auto" w:sz="8" w:space="0"/>
              <w:bottom w:val="single" w:color="000000" w:themeColor="text1" w:sz="8" w:space="0"/>
              <w:right w:val="single" w:color="auto" w:sz="8" w:space="0"/>
            </w:tcBorders>
            <w:shd w:val="clear" w:color="auto" w:fill="008CBE"/>
            <w:tcMar>
              <w:top w:w="0" w:type="dxa"/>
              <w:left w:w="108" w:type="dxa"/>
              <w:bottom w:w="0" w:type="dxa"/>
              <w:right w:w="108" w:type="dxa"/>
            </w:tcMar>
            <w:vAlign w:val="center"/>
            <w:hideMark/>
          </w:tcPr>
          <w:p w:rsidR="00963871" w:rsidP="7B26BE8F" w:rsidRDefault="00963871" w14:paraId="1270A6C8" w14:textId="77777777">
            <w:pPr>
              <w:spacing w:after="0" w:line="276" w:lineRule="auto"/>
              <w:jc w:val="center"/>
              <w:rPr>
                <w:b w:val="1"/>
                <w:bCs w:val="1"/>
                <w:noProof w:val="0"/>
                <w:color w:val="FFFFFF" w:themeColor="background1" w:themeTint="FF" w:themeShade="FF"/>
                <w:sz w:val="20"/>
                <w:szCs w:val="20"/>
                <w:lang w:val="fr-CA"/>
              </w:rPr>
            </w:pPr>
            <w:r w:rsidRPr="7B26BE8F" w:rsidR="5DAD3632">
              <w:rPr>
                <w:b w:val="1"/>
                <w:bCs w:val="1"/>
                <w:noProof w:val="0"/>
                <w:color w:val="FFFFFF" w:themeColor="background1" w:themeTint="FF" w:themeShade="FF"/>
                <w:sz w:val="20"/>
                <w:szCs w:val="20"/>
                <w:lang w:val="fr-CA"/>
              </w:rPr>
              <w:t xml:space="preserve">Étape </w:t>
            </w:r>
            <w:r w:rsidRPr="7B26BE8F" w:rsidR="5DAD3632">
              <w:rPr>
                <w:b w:val="1"/>
                <w:bCs w:val="1"/>
                <w:noProof w:val="0"/>
                <w:color w:val="FFFFFF" w:themeColor="background1" w:themeTint="FF" w:themeShade="FF"/>
                <w:sz w:val="20"/>
                <w:szCs w:val="20"/>
                <w:lang w:val="fr-CA"/>
              </w:rPr>
              <w:t>1 :</w:t>
            </w:r>
            <w:r w:rsidRPr="7B26BE8F" w:rsidR="5DAD3632">
              <w:rPr>
                <w:b w:val="1"/>
                <w:bCs w:val="1"/>
                <w:noProof w:val="0"/>
                <w:color w:val="FFFFFF" w:themeColor="background1" w:themeTint="FF" w:themeShade="FF"/>
                <w:sz w:val="20"/>
                <w:szCs w:val="20"/>
                <w:lang w:val="fr-CA"/>
              </w:rPr>
              <w:t xml:space="preserve"> </w:t>
            </w:r>
            <w:r w:rsidRPr="7B26BE8F" w:rsidR="5DAD3632">
              <w:rPr>
                <w:b w:val="1"/>
                <w:bCs w:val="1"/>
                <w:noProof w:val="0"/>
                <w:color w:val="FFFFFF" w:themeColor="background1" w:themeTint="FF" w:themeShade="FF"/>
                <w:sz w:val="20"/>
                <w:szCs w:val="20"/>
                <w:lang w:val="fr-CA"/>
              </w:rPr>
              <w:t>Énumérer</w:t>
            </w:r>
            <w:r w:rsidRPr="7B26BE8F" w:rsidR="5DAD3632">
              <w:rPr>
                <w:b w:val="1"/>
                <w:bCs w:val="1"/>
                <w:noProof w:val="0"/>
                <w:color w:val="FFFFFF" w:themeColor="background1" w:themeTint="FF" w:themeShade="FF"/>
                <w:sz w:val="20"/>
                <w:szCs w:val="20"/>
                <w:lang w:val="fr-CA"/>
              </w:rPr>
              <w:t xml:space="preserve"> les </w:t>
            </w:r>
            <w:r w:rsidRPr="7B26BE8F" w:rsidR="5DAD3632">
              <w:rPr>
                <w:b w:val="1"/>
                <w:bCs w:val="1"/>
                <w:noProof w:val="0"/>
                <w:color w:val="FFFFFF" w:themeColor="background1" w:themeTint="FF" w:themeShade="FF"/>
                <w:sz w:val="20"/>
                <w:szCs w:val="20"/>
                <w:lang w:val="fr-CA"/>
              </w:rPr>
              <w:t>prédictions</w:t>
            </w:r>
          </w:p>
        </w:tc>
        <w:tc>
          <w:tcPr>
            <w:tcW w:w="4394" w:type="dxa"/>
            <w:tcBorders>
              <w:top w:val="single" w:color="000000" w:themeColor="text1" w:sz="8" w:space="0"/>
              <w:left w:val="nil"/>
              <w:bottom w:val="single" w:color="000000" w:themeColor="text1" w:sz="8" w:space="0"/>
              <w:right w:val="single" w:color="auto" w:sz="8" w:space="0"/>
            </w:tcBorders>
            <w:shd w:val="clear" w:color="auto" w:fill="008CBE"/>
            <w:tcMar>
              <w:top w:w="0" w:type="dxa"/>
              <w:left w:w="108" w:type="dxa"/>
              <w:bottom w:w="0" w:type="dxa"/>
              <w:right w:w="108" w:type="dxa"/>
            </w:tcMar>
            <w:vAlign w:val="center"/>
            <w:hideMark/>
          </w:tcPr>
          <w:p w:rsidRPr="00963871" w:rsidR="00963871" w:rsidRDefault="00963871" w14:paraId="06BAF1BE" w14:textId="77777777">
            <w:pPr>
              <w:spacing w:after="0" w:line="240" w:lineRule="auto"/>
              <w:jc w:val="center"/>
              <w:rPr>
                <w:noProof w:val="0"/>
                <w:lang w:val="fr-CA"/>
              </w:rPr>
            </w:pPr>
            <w:r w:rsidRPr="7B26BE8F" w:rsidR="5DAD3632">
              <w:rPr>
                <w:b w:val="1"/>
                <w:bCs w:val="1"/>
                <w:noProof w:val="0"/>
                <w:color w:val="FFFFFF" w:themeColor="background1" w:themeTint="FF" w:themeShade="FF"/>
                <w:sz w:val="20"/>
                <w:szCs w:val="20"/>
                <w:lang w:val="fr-CA"/>
              </w:rPr>
              <w:t>Étape 2 : Énumérer les hypothèses sous-jacentes</w:t>
            </w:r>
          </w:p>
        </w:tc>
        <w:tc>
          <w:tcPr>
            <w:tcW w:w="4394" w:type="dxa"/>
            <w:tcBorders>
              <w:top w:val="single" w:color="auto" w:sz="8" w:space="0"/>
              <w:left w:val="nil"/>
              <w:bottom w:val="single" w:color="000000" w:themeColor="text1" w:sz="8" w:space="0"/>
              <w:right w:val="single" w:color="auto" w:sz="8" w:space="0"/>
            </w:tcBorders>
            <w:shd w:val="clear" w:color="auto" w:fill="008CBE"/>
            <w:tcMar>
              <w:top w:w="0" w:type="dxa"/>
              <w:left w:w="108" w:type="dxa"/>
              <w:bottom w:w="0" w:type="dxa"/>
              <w:right w:w="108" w:type="dxa"/>
            </w:tcMar>
            <w:vAlign w:val="center"/>
            <w:hideMark/>
          </w:tcPr>
          <w:p w:rsidRPr="00963871" w:rsidR="00963871" w:rsidRDefault="00963871" w14:paraId="4CD8CA82" w14:textId="77777777">
            <w:pPr>
              <w:spacing w:after="0" w:line="240" w:lineRule="auto"/>
              <w:jc w:val="center"/>
              <w:rPr>
                <w:noProof w:val="0"/>
                <w:lang w:val="fr-CA"/>
              </w:rPr>
            </w:pPr>
            <w:r w:rsidRPr="7B26BE8F" w:rsidR="5DAD3632">
              <w:rPr>
                <w:b w:val="1"/>
                <w:bCs w:val="1"/>
                <w:noProof w:val="0"/>
                <w:color w:val="FFFFFF" w:themeColor="background1" w:themeTint="FF" w:themeShade="FF"/>
                <w:sz w:val="20"/>
                <w:szCs w:val="20"/>
                <w:lang w:val="fr-CA"/>
              </w:rPr>
              <w:t>Étape 3 : Examinez vos résultats. Que révèlent-ils?</w:t>
            </w:r>
          </w:p>
        </w:tc>
      </w:tr>
      <w:tr w:rsidRPr="00963871" w:rsidR="00963871" w:rsidTr="7B26BE8F" w14:paraId="71E7046A" w14:textId="77777777">
        <w:trPr>
          <w:trHeight w:val="1395"/>
          <w:tblCellSpacing w:w="15" w:type="dxa"/>
        </w:trPr>
        <w:tc>
          <w:tcPr>
            <w:tcW w:w="4248"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hideMark/>
          </w:tcPr>
          <w:p w:rsidRPr="00963871" w:rsidR="00963871" w:rsidRDefault="00963871" w14:paraId="5BE1978E" w14:textId="77777777">
            <w:pPr>
              <w:spacing w:after="0" w:line="240" w:lineRule="auto"/>
              <w:rPr>
                <w:noProof w:val="0"/>
                <w:lang w:val="fr-CA"/>
              </w:rPr>
            </w:pPr>
            <w:r w:rsidRPr="7B26BE8F" w:rsidR="5DAD3632">
              <w:rPr>
                <w:b w:val="1"/>
                <w:bCs w:val="1"/>
                <w:i w:val="1"/>
                <w:iCs w:val="1"/>
                <w:noProof w:val="0"/>
                <w:color w:val="595959" w:themeColor="text1" w:themeTint="A6" w:themeShade="FF"/>
                <w:sz w:val="20"/>
                <w:szCs w:val="20"/>
                <w:lang w:val="fr-CA"/>
              </w:rPr>
              <w:t xml:space="preserve">Exemple : </w:t>
            </w:r>
            <w:r w:rsidRPr="7B26BE8F" w:rsidR="5DAD3632">
              <w:rPr>
                <w:i w:val="1"/>
                <w:iCs w:val="1"/>
                <w:noProof w:val="0"/>
                <w:color w:val="595959" w:themeColor="text1" w:themeTint="A6" w:themeShade="FF"/>
                <w:sz w:val="20"/>
                <w:szCs w:val="20"/>
                <w:lang w:val="fr-CA"/>
              </w:rPr>
              <w:t>Nous prédisons qu’en examinant nos résultats, nous constaterons que notre sentiment d’appartenance est plus faible que celui du reste du Canada.</w:t>
            </w:r>
          </w:p>
        </w:tc>
        <w:tc>
          <w:tcPr>
            <w:tcW w:w="4394"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hideMark/>
          </w:tcPr>
          <w:p w:rsidRPr="00963871" w:rsidR="00963871" w:rsidRDefault="00963871" w14:paraId="787FF920" w14:textId="77777777">
            <w:pPr>
              <w:spacing w:after="0" w:line="240" w:lineRule="auto"/>
              <w:rPr>
                <w:noProof w:val="0"/>
                <w:lang w:val="fr-CA"/>
              </w:rPr>
            </w:pPr>
            <w:r w:rsidRPr="7B26BE8F" w:rsidR="5DAD3632">
              <w:rPr>
                <w:i w:val="1"/>
                <w:iCs w:val="1"/>
                <w:noProof w:val="0"/>
                <w:color w:val="595959" w:themeColor="text1" w:themeTint="A6" w:themeShade="FF"/>
                <w:sz w:val="20"/>
                <w:szCs w:val="20"/>
                <w:lang w:val="fr-CA"/>
              </w:rPr>
              <w:t>Exemple : Nous le supposons parce que nous entendons nos pairs dire qu’il est difficile de participer aux activités scolaires en raison de l’absence de transport pour retourner à la maison.</w:t>
            </w:r>
          </w:p>
        </w:tc>
        <w:tc>
          <w:tcPr>
            <w:tcW w:w="4394" w:type="dxa"/>
            <w:tcBorders>
              <w:top w:val="nil"/>
              <w:left w:val="nil"/>
              <w:bottom w:val="single" w:color="auto" w:sz="8" w:space="0"/>
              <w:right w:val="single" w:color="000000" w:themeColor="text1" w:sz="8" w:space="0"/>
            </w:tcBorders>
            <w:shd w:val="clear" w:color="auto" w:fill="F2F2F2" w:themeFill="background1" w:themeFillShade="F2"/>
            <w:tcMar>
              <w:top w:w="0" w:type="dxa"/>
              <w:left w:w="108" w:type="dxa"/>
              <w:bottom w:w="0" w:type="dxa"/>
              <w:right w:w="108" w:type="dxa"/>
            </w:tcMar>
            <w:vAlign w:val="center"/>
            <w:hideMark/>
          </w:tcPr>
          <w:p w:rsidRPr="00963871" w:rsidR="00963871" w:rsidRDefault="00963871" w14:paraId="608538F5" w14:textId="77777777">
            <w:pPr>
              <w:spacing w:after="0" w:line="240" w:lineRule="auto"/>
              <w:rPr>
                <w:noProof w:val="0"/>
                <w:lang w:val="fr-CA"/>
              </w:rPr>
            </w:pPr>
            <w:r w:rsidRPr="7B26BE8F" w:rsidR="5DAD3632">
              <w:rPr>
                <w:b w:val="1"/>
                <w:bCs w:val="1"/>
                <w:i w:val="1"/>
                <w:iCs w:val="1"/>
                <w:noProof w:val="0"/>
                <w:color w:val="595959" w:themeColor="text1" w:themeTint="A6" w:themeShade="FF"/>
                <w:sz w:val="20"/>
                <w:szCs w:val="20"/>
                <w:lang w:val="fr-CA"/>
              </w:rPr>
              <w:t xml:space="preserve">Exemple : </w:t>
            </w:r>
            <w:r w:rsidRPr="7B26BE8F" w:rsidR="5DAD3632">
              <w:rPr>
                <w:i w:val="1"/>
                <w:iCs w:val="1"/>
                <w:noProof w:val="0"/>
                <w:color w:val="595959" w:themeColor="text1" w:themeTint="A6" w:themeShade="FF"/>
                <w:sz w:val="20"/>
                <w:szCs w:val="20"/>
                <w:lang w:val="fr-CA"/>
              </w:rPr>
              <w:t xml:space="preserve">En examinant les résultats du sentiment d’appartenance à l’école de </w:t>
            </w:r>
            <w:r w:rsidRPr="7B26BE8F" w:rsidR="5DAD3632">
              <w:rPr>
                <w:i w:val="1"/>
                <w:iCs w:val="1"/>
                <w:noProof w:val="0"/>
                <w:color w:val="595959" w:themeColor="text1" w:themeTint="A6" w:themeShade="FF"/>
                <w:sz w:val="20"/>
                <w:szCs w:val="20"/>
                <w:lang w:val="fr-CA"/>
              </w:rPr>
              <w:t>NotreÉCOLE</w:t>
            </w:r>
            <w:r w:rsidRPr="7B26BE8F" w:rsidR="5DAD3632">
              <w:rPr>
                <w:i w:val="1"/>
                <w:iCs w:val="1"/>
                <w:noProof w:val="0"/>
                <w:color w:val="595959" w:themeColor="text1" w:themeTint="A6" w:themeShade="FF"/>
                <w:sz w:val="20"/>
                <w:szCs w:val="20"/>
                <w:lang w:val="fr-CA"/>
              </w:rPr>
              <w:t>, nous constatons que nos résultats ont diminué de 17 % depuis l’an dernier. Nos résultats sont également inférieurs à ceux des écoles répliques et à la norme nationale.</w:t>
            </w:r>
          </w:p>
        </w:tc>
      </w:tr>
      <w:tr w:rsidRPr="00963871" w:rsidR="00963871" w:rsidTr="7B26BE8F" w14:paraId="3049BA9D" w14:textId="77777777">
        <w:trPr>
          <w:trHeight w:val="2016"/>
          <w:tblCellSpacing w:w="15" w:type="dxa"/>
        </w:trPr>
        <w:tc>
          <w:tcPr>
            <w:tcW w:w="42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46A1488C" w14:textId="77777777">
            <w:pPr>
              <w:spacing w:after="0" w:line="240" w:lineRule="auto"/>
              <w:rPr>
                <w:noProof w:val="0"/>
                <w:lang w:val="fr-CA"/>
              </w:rPr>
            </w:pPr>
            <w:r w:rsidRPr="7B26BE8F" w:rsidR="5DAD3632">
              <w:rPr>
                <w:noProof w:val="0"/>
                <w:sz w:val="20"/>
                <w:szCs w:val="20"/>
                <w:lang w:val="fr-CA"/>
              </w:rPr>
              <w:t> </w:t>
            </w:r>
          </w:p>
        </w:tc>
        <w:tc>
          <w:tcPr>
            <w:tcW w:w="4394" w:type="dxa"/>
            <w:tcBorders>
              <w:top w:val="nil"/>
              <w:left w:val="nil"/>
              <w:bottom w:val="single" w:color="auto" w:sz="8" w:space="0"/>
              <w:right w:val="single" w:color="000000" w:themeColor="text1" w:sz="8" w:space="0"/>
            </w:tcBorders>
            <w:tcMar>
              <w:top w:w="0" w:type="dxa"/>
              <w:left w:w="108" w:type="dxa"/>
              <w:bottom w:w="0" w:type="dxa"/>
              <w:right w:w="108" w:type="dxa"/>
            </w:tcMar>
            <w:vAlign w:val="center"/>
            <w:hideMark/>
          </w:tcPr>
          <w:p w:rsidRPr="00963871" w:rsidR="00963871" w:rsidRDefault="00963871" w14:paraId="34690E62" w14:textId="77777777">
            <w:pPr>
              <w:spacing w:after="0" w:line="240" w:lineRule="auto"/>
              <w:rPr>
                <w:noProof w:val="0"/>
                <w:lang w:val="fr-CA"/>
              </w:rPr>
            </w:pPr>
            <w:r w:rsidRPr="7B26BE8F" w:rsidR="5DAD3632">
              <w:rPr>
                <w:noProof w:val="0"/>
                <w:sz w:val="20"/>
                <w:szCs w:val="20"/>
                <w:lang w:val="fr-CA"/>
              </w:rPr>
              <w:t> </w:t>
            </w:r>
          </w:p>
        </w:tc>
        <w:tc>
          <w:tcPr>
            <w:tcW w:w="439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3D59922E" w14:textId="77777777">
            <w:pPr>
              <w:spacing w:after="0" w:line="240" w:lineRule="auto"/>
              <w:rPr>
                <w:noProof w:val="0"/>
                <w:lang w:val="fr-CA"/>
              </w:rPr>
            </w:pPr>
            <w:r w:rsidRPr="7B26BE8F" w:rsidR="5DAD3632">
              <w:rPr>
                <w:noProof w:val="0"/>
                <w:sz w:val="20"/>
                <w:szCs w:val="20"/>
                <w:lang w:val="fr-CA"/>
              </w:rPr>
              <w:t> </w:t>
            </w:r>
          </w:p>
        </w:tc>
      </w:tr>
      <w:tr w:rsidRPr="00963871" w:rsidR="00963871" w:rsidTr="7B26BE8F" w14:paraId="7B854A53" w14:textId="77777777">
        <w:trPr>
          <w:trHeight w:val="2016"/>
          <w:tblCellSpacing w:w="15" w:type="dxa"/>
        </w:trPr>
        <w:tc>
          <w:tcPr>
            <w:tcW w:w="42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1788F2F4" w14:textId="77777777">
            <w:pPr>
              <w:spacing w:after="0" w:line="240" w:lineRule="auto"/>
              <w:rPr>
                <w:noProof w:val="0"/>
                <w:lang w:val="fr-CA"/>
              </w:rPr>
            </w:pPr>
            <w:r w:rsidRPr="7B26BE8F" w:rsidR="5DAD3632">
              <w:rPr>
                <w:noProof w:val="0"/>
                <w:sz w:val="20"/>
                <w:szCs w:val="20"/>
                <w:lang w:val="fr-CA"/>
              </w:rPr>
              <w:t> </w:t>
            </w:r>
          </w:p>
        </w:tc>
        <w:tc>
          <w:tcPr>
            <w:tcW w:w="439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7BDD2CEA" w14:textId="77777777">
            <w:pPr>
              <w:spacing w:after="0" w:line="240" w:lineRule="auto"/>
              <w:rPr>
                <w:noProof w:val="0"/>
                <w:lang w:val="fr-CA"/>
              </w:rPr>
            </w:pPr>
            <w:r w:rsidRPr="7B26BE8F" w:rsidR="5DAD3632">
              <w:rPr>
                <w:noProof w:val="0"/>
                <w:sz w:val="20"/>
                <w:szCs w:val="20"/>
                <w:lang w:val="fr-CA"/>
              </w:rPr>
              <w:t> </w:t>
            </w:r>
          </w:p>
        </w:tc>
        <w:tc>
          <w:tcPr>
            <w:tcW w:w="439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6F1108A3" w14:textId="77777777">
            <w:pPr>
              <w:spacing w:after="0" w:line="240" w:lineRule="auto"/>
              <w:rPr>
                <w:noProof w:val="0"/>
                <w:lang w:val="fr-CA"/>
              </w:rPr>
            </w:pPr>
            <w:r w:rsidRPr="7B26BE8F" w:rsidR="5DAD3632">
              <w:rPr>
                <w:noProof w:val="0"/>
                <w:sz w:val="20"/>
                <w:szCs w:val="20"/>
                <w:lang w:val="fr-CA"/>
              </w:rPr>
              <w:t> </w:t>
            </w:r>
          </w:p>
        </w:tc>
      </w:tr>
    </w:tbl>
    <w:p w:rsidR="00963871" w:rsidP="7B26BE8F" w:rsidRDefault="00963871" w14:paraId="0810E549" w14:textId="77777777">
      <w:pPr>
        <w:rPr>
          <w:noProof w:val="0"/>
          <w:lang w:val="fr-CA"/>
        </w:rPr>
      </w:pPr>
      <w:r w:rsidRPr="7B26BE8F" w:rsidR="5DAD3632">
        <w:rPr>
          <w:noProof w:val="0"/>
          <w:lang w:val="fr-CA"/>
        </w:rPr>
        <w:t> </w:t>
      </w:r>
    </w:p>
    <w:tbl>
      <w:tblPr>
        <w:tblW w:w="13036" w:type="dxa"/>
        <w:tblCellSpacing w:w="15" w:type="dxa"/>
        <w:tblCellMar>
          <w:top w:w="15" w:type="dxa"/>
          <w:left w:w="15" w:type="dxa"/>
          <w:bottom w:w="15" w:type="dxa"/>
          <w:right w:w="15" w:type="dxa"/>
        </w:tblCellMar>
        <w:tblLook w:val="04A0" w:firstRow="1" w:lastRow="0" w:firstColumn="1" w:lastColumn="0" w:noHBand="0" w:noVBand="1"/>
      </w:tblPr>
      <w:tblGrid>
        <w:gridCol w:w="3271"/>
        <w:gridCol w:w="3247"/>
        <w:gridCol w:w="3251"/>
        <w:gridCol w:w="3267"/>
      </w:tblGrid>
      <w:tr w:rsidR="00963871" w:rsidTr="7B26BE8F" w14:paraId="3F642C4C" w14:textId="77777777">
        <w:trPr>
          <w:trHeight w:val="720"/>
          <w:tblCellSpacing w:w="15" w:type="dxa"/>
        </w:trPr>
        <w:tc>
          <w:tcPr>
            <w:tcW w:w="3259" w:type="dxa"/>
            <w:tcBorders>
              <w:top w:val="single" w:color="auto" w:sz="8" w:space="0"/>
              <w:left w:val="single" w:color="auto" w:sz="8" w:space="0"/>
              <w:bottom w:val="single" w:color="auto" w:sz="8" w:space="0"/>
              <w:right w:val="single" w:color="auto" w:sz="8" w:space="0"/>
            </w:tcBorders>
            <w:shd w:val="clear" w:color="auto" w:fill="008CBE"/>
            <w:tcMar>
              <w:top w:w="0" w:type="dxa"/>
              <w:left w:w="108" w:type="dxa"/>
              <w:bottom w:w="0" w:type="dxa"/>
              <w:right w:w="108" w:type="dxa"/>
            </w:tcMar>
            <w:vAlign w:val="center"/>
            <w:hideMark/>
          </w:tcPr>
          <w:p w:rsidR="00963871" w:rsidP="7B26BE8F" w:rsidRDefault="00963871" w14:paraId="5DEE6CBD" w14:textId="77777777">
            <w:pPr>
              <w:spacing w:after="0" w:line="240" w:lineRule="auto"/>
              <w:jc w:val="center"/>
              <w:rPr>
                <w:b w:val="1"/>
                <w:bCs w:val="1"/>
                <w:noProof w:val="0"/>
                <w:color w:val="FFFFFF" w:themeColor="background1" w:themeTint="FF" w:themeShade="FF"/>
                <w:sz w:val="20"/>
                <w:szCs w:val="20"/>
                <w:lang w:val="fr-CA"/>
              </w:rPr>
            </w:pPr>
            <w:r w:rsidRPr="7B26BE8F" w:rsidR="5DAD3632">
              <w:rPr>
                <w:b w:val="1"/>
                <w:bCs w:val="1"/>
                <w:noProof w:val="0"/>
                <w:color w:val="FFFFFF" w:themeColor="background1" w:themeTint="FF" w:themeShade="FF"/>
                <w:sz w:val="20"/>
                <w:szCs w:val="20"/>
                <w:lang w:val="fr-CA"/>
              </w:rPr>
              <w:t xml:space="preserve">Domaine </w:t>
            </w:r>
            <w:r w:rsidRPr="7B26BE8F" w:rsidR="5DAD3632">
              <w:rPr>
                <w:b w:val="1"/>
                <w:bCs w:val="1"/>
                <w:noProof w:val="0"/>
                <w:color w:val="FFFFFF" w:themeColor="background1" w:themeTint="FF" w:themeShade="FF"/>
                <w:sz w:val="20"/>
                <w:szCs w:val="20"/>
                <w:lang w:val="fr-CA"/>
              </w:rPr>
              <w:t>d’intervention</w:t>
            </w:r>
          </w:p>
        </w:tc>
        <w:tc>
          <w:tcPr>
            <w:tcW w:w="3259" w:type="dxa"/>
            <w:tcBorders>
              <w:top w:val="single" w:color="auto" w:sz="8" w:space="0"/>
              <w:left w:val="nil"/>
              <w:bottom w:val="single" w:color="auto" w:sz="8" w:space="0"/>
              <w:right w:val="single" w:color="auto" w:sz="8" w:space="0"/>
            </w:tcBorders>
            <w:shd w:val="clear" w:color="auto" w:fill="008CBE"/>
            <w:tcMar>
              <w:top w:w="0" w:type="dxa"/>
              <w:left w:w="108" w:type="dxa"/>
              <w:bottom w:w="0" w:type="dxa"/>
              <w:right w:w="108" w:type="dxa"/>
            </w:tcMar>
            <w:vAlign w:val="center"/>
            <w:hideMark/>
          </w:tcPr>
          <w:p w:rsidRPr="00963871" w:rsidR="00963871" w:rsidRDefault="00963871" w14:paraId="1ECE7697" w14:textId="77777777">
            <w:pPr>
              <w:spacing w:after="0" w:line="240" w:lineRule="auto"/>
              <w:jc w:val="center"/>
              <w:rPr>
                <w:noProof w:val="0"/>
                <w:lang w:val="fr-CA"/>
              </w:rPr>
            </w:pPr>
            <w:r w:rsidRPr="7B26BE8F" w:rsidR="5DAD3632">
              <w:rPr>
                <w:b w:val="1"/>
                <w:bCs w:val="1"/>
                <w:noProof w:val="0"/>
                <w:color w:val="FFFFFF" w:themeColor="background1" w:themeTint="FF" w:themeShade="FF"/>
                <w:sz w:val="20"/>
                <w:szCs w:val="20"/>
                <w:lang w:val="fr-CA"/>
              </w:rPr>
              <w:t>Qu’est-ce que nous pensons qui a causé ce résultat?</w:t>
            </w:r>
          </w:p>
        </w:tc>
        <w:tc>
          <w:tcPr>
            <w:tcW w:w="3259" w:type="dxa"/>
            <w:tcBorders>
              <w:top w:val="single" w:color="auto" w:sz="8" w:space="0"/>
              <w:left w:val="nil"/>
              <w:bottom w:val="single" w:color="auto" w:sz="8" w:space="0"/>
              <w:right w:val="single" w:color="auto" w:sz="8" w:space="0"/>
            </w:tcBorders>
            <w:shd w:val="clear" w:color="auto" w:fill="008CBE"/>
            <w:tcMar>
              <w:top w:w="0" w:type="dxa"/>
              <w:left w:w="108" w:type="dxa"/>
              <w:bottom w:w="0" w:type="dxa"/>
              <w:right w:w="108" w:type="dxa"/>
            </w:tcMar>
            <w:vAlign w:val="center"/>
            <w:hideMark/>
          </w:tcPr>
          <w:p w:rsidRPr="00963871" w:rsidR="00963871" w:rsidRDefault="00963871" w14:paraId="71A82FDB" w14:textId="77777777">
            <w:pPr>
              <w:spacing w:after="0" w:line="240" w:lineRule="auto"/>
              <w:jc w:val="center"/>
              <w:rPr>
                <w:noProof w:val="0"/>
                <w:lang w:val="fr-CA"/>
              </w:rPr>
            </w:pPr>
            <w:r w:rsidRPr="7B26BE8F" w:rsidR="5DAD3632">
              <w:rPr>
                <w:b w:val="1"/>
                <w:bCs w:val="1"/>
                <w:noProof w:val="0"/>
                <w:color w:val="FFFFFF" w:themeColor="background1" w:themeTint="FF" w:themeShade="FF"/>
                <w:sz w:val="20"/>
                <w:szCs w:val="20"/>
                <w:lang w:val="fr-CA"/>
              </w:rPr>
              <w:t>Quelles autres sources de données confirment cela?</w:t>
            </w:r>
          </w:p>
        </w:tc>
        <w:tc>
          <w:tcPr>
            <w:tcW w:w="3259" w:type="dxa"/>
            <w:tcBorders>
              <w:top w:val="single" w:color="auto" w:sz="8" w:space="0"/>
              <w:left w:val="nil"/>
              <w:bottom w:val="single" w:color="auto" w:sz="8" w:space="0"/>
              <w:right w:val="single" w:color="auto" w:sz="8" w:space="0"/>
            </w:tcBorders>
            <w:shd w:val="clear" w:color="auto" w:fill="008CBE"/>
            <w:tcMar>
              <w:top w:w="0" w:type="dxa"/>
              <w:left w:w="108" w:type="dxa"/>
              <w:bottom w:w="0" w:type="dxa"/>
              <w:right w:w="108" w:type="dxa"/>
            </w:tcMar>
            <w:vAlign w:val="center"/>
            <w:hideMark/>
          </w:tcPr>
          <w:p w:rsidR="00963871" w:rsidP="7B26BE8F" w:rsidRDefault="00963871" w14:paraId="5C40DCD1" w14:textId="77777777">
            <w:pPr>
              <w:spacing w:after="0" w:line="240" w:lineRule="auto"/>
              <w:jc w:val="center"/>
              <w:rPr>
                <w:b w:val="1"/>
                <w:bCs w:val="1"/>
                <w:noProof w:val="0"/>
                <w:color w:val="FFFFFF" w:themeColor="background1" w:themeTint="FF" w:themeShade="FF"/>
                <w:sz w:val="20"/>
                <w:szCs w:val="20"/>
                <w:lang w:val="fr-CA"/>
              </w:rPr>
            </w:pPr>
            <w:r w:rsidRPr="7B26BE8F" w:rsidR="5DAD3632">
              <w:rPr>
                <w:b w:val="1"/>
                <w:bCs w:val="1"/>
                <w:noProof w:val="0"/>
                <w:color w:val="FFFFFF" w:themeColor="background1" w:themeTint="FF" w:themeShade="FF"/>
                <w:sz w:val="20"/>
                <w:szCs w:val="20"/>
                <w:lang w:val="fr-CA"/>
              </w:rPr>
              <w:t>Idées</w:t>
            </w:r>
            <w:r w:rsidRPr="7B26BE8F" w:rsidR="5DAD3632">
              <w:rPr>
                <w:b w:val="1"/>
                <w:bCs w:val="1"/>
                <w:noProof w:val="0"/>
                <w:color w:val="FFFFFF" w:themeColor="background1" w:themeTint="FF" w:themeShade="FF"/>
                <w:sz w:val="20"/>
                <w:szCs w:val="20"/>
                <w:lang w:val="fr-CA"/>
              </w:rPr>
              <w:t xml:space="preserve"> de plan </w:t>
            </w:r>
            <w:r w:rsidRPr="7B26BE8F" w:rsidR="5DAD3632">
              <w:rPr>
                <w:b w:val="1"/>
                <w:bCs w:val="1"/>
                <w:noProof w:val="0"/>
                <w:color w:val="FFFFFF" w:themeColor="background1" w:themeTint="FF" w:themeShade="FF"/>
                <w:sz w:val="20"/>
                <w:szCs w:val="20"/>
                <w:lang w:val="fr-CA"/>
              </w:rPr>
              <w:t>d’action</w:t>
            </w:r>
          </w:p>
        </w:tc>
      </w:tr>
      <w:tr w:rsidRPr="00963871" w:rsidR="00963871" w:rsidTr="7B26BE8F" w14:paraId="78DEBDF8" w14:textId="77777777">
        <w:trPr>
          <w:trHeight w:val="1152"/>
          <w:tblCellSpacing w:w="15" w:type="dxa"/>
        </w:trPr>
        <w:tc>
          <w:tcPr>
            <w:tcW w:w="3259" w:type="dxa"/>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hideMark/>
          </w:tcPr>
          <w:p w:rsidRPr="00963871" w:rsidR="00963871" w:rsidRDefault="00963871" w14:paraId="01042872" w14:textId="77777777">
            <w:pPr>
              <w:spacing w:after="0" w:line="240" w:lineRule="auto"/>
              <w:rPr>
                <w:noProof w:val="0"/>
                <w:lang w:val="fr-CA"/>
              </w:rPr>
            </w:pPr>
            <w:r w:rsidRPr="7B26BE8F" w:rsidR="5DAD3632">
              <w:rPr>
                <w:b w:val="1"/>
                <w:bCs w:val="1"/>
                <w:i w:val="1"/>
                <w:iCs w:val="1"/>
                <w:noProof w:val="0"/>
                <w:color w:val="595959" w:themeColor="text1" w:themeTint="A6" w:themeShade="FF"/>
                <w:sz w:val="20"/>
                <w:szCs w:val="20"/>
                <w:lang w:val="fr-CA"/>
              </w:rPr>
              <w:t>Exemple :</w:t>
            </w:r>
            <w:r w:rsidRPr="7B26BE8F" w:rsidR="5DAD3632">
              <w:rPr>
                <w:i w:val="1"/>
                <w:iCs w:val="1"/>
                <w:noProof w:val="0"/>
                <w:color w:val="595959" w:themeColor="text1" w:themeTint="A6" w:themeShade="FF"/>
                <w:sz w:val="20"/>
                <w:szCs w:val="20"/>
                <w:lang w:val="fr-CA"/>
              </w:rPr>
              <w:t xml:space="preserve"> Les taux d’absentéisme augmentent dans les années supérieures.</w:t>
            </w:r>
          </w:p>
        </w:tc>
        <w:tc>
          <w:tcPr>
            <w:tcW w:w="3259"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hideMark/>
          </w:tcPr>
          <w:p w:rsidRPr="00963871" w:rsidR="00963871" w:rsidRDefault="00963871" w14:paraId="17903FCF" w14:textId="77777777">
            <w:pPr>
              <w:spacing w:after="0" w:line="240" w:lineRule="auto"/>
              <w:rPr>
                <w:noProof w:val="0"/>
                <w:lang w:val="fr-CA"/>
              </w:rPr>
            </w:pPr>
            <w:r w:rsidRPr="7B26BE8F" w:rsidR="5DAD3632">
              <w:rPr>
                <w:b w:val="1"/>
                <w:bCs w:val="1"/>
                <w:i w:val="1"/>
                <w:iCs w:val="1"/>
                <w:noProof w:val="0"/>
                <w:color w:val="595959" w:themeColor="text1" w:themeTint="A6" w:themeShade="FF"/>
                <w:sz w:val="20"/>
                <w:szCs w:val="20"/>
                <w:lang w:val="fr-CA"/>
              </w:rPr>
              <w:t>Exemple :</w:t>
            </w:r>
            <w:r w:rsidRPr="7B26BE8F" w:rsidR="5DAD3632">
              <w:rPr>
                <w:i w:val="1"/>
                <w:iCs w:val="1"/>
                <w:noProof w:val="0"/>
                <w:color w:val="595959" w:themeColor="text1" w:themeTint="A6" w:themeShade="FF"/>
                <w:sz w:val="20"/>
                <w:szCs w:val="20"/>
                <w:lang w:val="fr-CA"/>
              </w:rPr>
              <w:t xml:space="preserve"> Les élèves quittent le terrain de l’école pendant des périodes libres, car il n’y a pas assez d’espace d’étude gratuit pour qu’ils puissent travailler.</w:t>
            </w:r>
          </w:p>
        </w:tc>
        <w:tc>
          <w:tcPr>
            <w:tcW w:w="3259"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hideMark/>
          </w:tcPr>
          <w:p w:rsidRPr="00963871" w:rsidR="00963871" w:rsidRDefault="00963871" w14:paraId="13ECA9FE" w14:textId="77777777">
            <w:pPr>
              <w:spacing w:after="0" w:line="240" w:lineRule="auto"/>
              <w:rPr>
                <w:noProof w:val="0"/>
                <w:lang w:val="fr-CA"/>
              </w:rPr>
            </w:pPr>
            <w:r w:rsidRPr="7B26BE8F" w:rsidR="5DAD3632">
              <w:rPr>
                <w:b w:val="1"/>
                <w:bCs w:val="1"/>
                <w:i w:val="1"/>
                <w:iCs w:val="1"/>
                <w:noProof w:val="0"/>
                <w:color w:val="595959" w:themeColor="text1" w:themeTint="A6" w:themeShade="FF"/>
                <w:sz w:val="20"/>
                <w:szCs w:val="20"/>
                <w:lang w:val="fr-CA"/>
              </w:rPr>
              <w:t>Exemple :</w:t>
            </w:r>
            <w:r w:rsidRPr="7B26BE8F" w:rsidR="5DAD3632">
              <w:rPr>
                <w:i w:val="1"/>
                <w:iCs w:val="1"/>
                <w:noProof w:val="0"/>
                <w:color w:val="595959" w:themeColor="text1" w:themeTint="A6" w:themeShade="FF"/>
                <w:sz w:val="20"/>
                <w:szCs w:val="20"/>
                <w:lang w:val="fr-CA"/>
              </w:rPr>
              <w:t xml:space="preserve"> Les dossiers de présence des élèves montrent également une présence plus faible dans les années supérieures.</w:t>
            </w:r>
          </w:p>
        </w:tc>
        <w:tc>
          <w:tcPr>
            <w:tcW w:w="3259" w:type="dxa"/>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hideMark/>
          </w:tcPr>
          <w:p w:rsidRPr="00963871" w:rsidR="00963871" w:rsidRDefault="00963871" w14:paraId="79422051" w14:textId="77777777">
            <w:pPr>
              <w:spacing w:after="0" w:line="240" w:lineRule="auto"/>
              <w:rPr>
                <w:noProof w:val="0"/>
                <w:lang w:val="fr-CA"/>
              </w:rPr>
            </w:pPr>
            <w:r w:rsidRPr="7B26BE8F" w:rsidR="5DAD3632">
              <w:rPr>
                <w:b w:val="1"/>
                <w:bCs w:val="1"/>
                <w:i w:val="1"/>
                <w:iCs w:val="1"/>
                <w:noProof w:val="0"/>
                <w:color w:val="595959" w:themeColor="text1" w:themeTint="A6" w:themeShade="FF"/>
                <w:sz w:val="20"/>
                <w:szCs w:val="20"/>
                <w:lang w:val="fr-CA"/>
              </w:rPr>
              <w:t>Exemple :</w:t>
            </w:r>
            <w:r w:rsidRPr="7B26BE8F" w:rsidR="5DAD3632">
              <w:rPr>
                <w:i w:val="1"/>
                <w:iCs w:val="1"/>
                <w:noProof w:val="0"/>
                <w:color w:val="595959" w:themeColor="text1" w:themeTint="A6" w:themeShade="FF"/>
                <w:sz w:val="20"/>
                <w:szCs w:val="20"/>
                <w:lang w:val="fr-CA"/>
              </w:rPr>
              <w:t xml:space="preserve"> Désigner la cafétéria comme zone d’étude silencieuse en dehors des heures de dîner afin que les élèves aient un endroit où étudier. Cela encouragera les élèves à rester sur le terrain de l’école.</w:t>
            </w:r>
          </w:p>
        </w:tc>
      </w:tr>
      <w:tr w:rsidRPr="00963871" w:rsidR="00963871" w:rsidTr="7B26BE8F" w14:paraId="60234D82" w14:textId="77777777">
        <w:trPr>
          <w:trHeight w:val="1152"/>
          <w:tblCellSpacing w:w="15" w:type="dxa"/>
        </w:trPr>
        <w:tc>
          <w:tcPr>
            <w:tcW w:w="3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142AC2F7"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4786388D"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03344341"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0704D9C7" w14:textId="77777777">
            <w:pPr>
              <w:spacing w:after="0" w:line="240" w:lineRule="auto"/>
              <w:rPr>
                <w:noProof w:val="0"/>
                <w:lang w:val="fr-CA"/>
              </w:rPr>
            </w:pPr>
            <w:r w:rsidRPr="7B26BE8F" w:rsidR="5DAD3632">
              <w:rPr>
                <w:noProof w:val="0"/>
                <w:sz w:val="24"/>
                <w:szCs w:val="24"/>
                <w:lang w:val="fr-CA"/>
              </w:rPr>
              <w:t> </w:t>
            </w:r>
          </w:p>
        </w:tc>
      </w:tr>
      <w:tr w:rsidRPr="00963871" w:rsidR="00963871" w:rsidTr="7B26BE8F" w14:paraId="1DC2F43B" w14:textId="77777777">
        <w:trPr>
          <w:trHeight w:val="1152"/>
          <w:tblCellSpacing w:w="15" w:type="dxa"/>
        </w:trPr>
        <w:tc>
          <w:tcPr>
            <w:tcW w:w="3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4561571F"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42582830"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4B0A90CE"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6F6200BB" w14:textId="77777777">
            <w:pPr>
              <w:spacing w:after="0" w:line="240" w:lineRule="auto"/>
              <w:rPr>
                <w:noProof w:val="0"/>
                <w:lang w:val="fr-CA"/>
              </w:rPr>
            </w:pPr>
            <w:r w:rsidRPr="7B26BE8F" w:rsidR="5DAD3632">
              <w:rPr>
                <w:noProof w:val="0"/>
                <w:sz w:val="24"/>
                <w:szCs w:val="24"/>
                <w:lang w:val="fr-CA"/>
              </w:rPr>
              <w:t> </w:t>
            </w:r>
          </w:p>
        </w:tc>
      </w:tr>
      <w:tr w:rsidRPr="00963871" w:rsidR="00963871" w:rsidTr="7B26BE8F" w14:paraId="1ABEC0A4" w14:textId="77777777">
        <w:trPr>
          <w:trHeight w:val="1152"/>
          <w:tblCellSpacing w:w="15" w:type="dxa"/>
        </w:trPr>
        <w:tc>
          <w:tcPr>
            <w:tcW w:w="3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5B203D4B"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7EDC597B"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6661D1D2"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51BB5528" w14:textId="77777777">
            <w:pPr>
              <w:spacing w:after="0" w:line="240" w:lineRule="auto"/>
              <w:rPr>
                <w:noProof w:val="0"/>
                <w:lang w:val="fr-CA"/>
              </w:rPr>
            </w:pPr>
            <w:r w:rsidRPr="7B26BE8F" w:rsidR="5DAD3632">
              <w:rPr>
                <w:noProof w:val="0"/>
                <w:sz w:val="24"/>
                <w:szCs w:val="24"/>
                <w:lang w:val="fr-CA"/>
              </w:rPr>
              <w:t> </w:t>
            </w:r>
          </w:p>
        </w:tc>
      </w:tr>
      <w:tr w:rsidRPr="00963871" w:rsidR="00963871" w:rsidTr="7B26BE8F" w14:paraId="3C60AFE1" w14:textId="77777777">
        <w:trPr>
          <w:trHeight w:val="1152"/>
          <w:tblCellSpacing w:w="15" w:type="dxa"/>
        </w:trPr>
        <w:tc>
          <w:tcPr>
            <w:tcW w:w="3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22F116A4"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15FE5ADC"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59F0761F"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78F0790C" w14:textId="77777777">
            <w:pPr>
              <w:spacing w:after="0" w:line="240" w:lineRule="auto"/>
              <w:rPr>
                <w:noProof w:val="0"/>
                <w:lang w:val="fr-CA"/>
              </w:rPr>
            </w:pPr>
            <w:r w:rsidRPr="7B26BE8F" w:rsidR="5DAD3632">
              <w:rPr>
                <w:noProof w:val="0"/>
                <w:sz w:val="24"/>
                <w:szCs w:val="24"/>
                <w:lang w:val="fr-CA"/>
              </w:rPr>
              <w:t> </w:t>
            </w:r>
          </w:p>
        </w:tc>
      </w:tr>
      <w:tr w:rsidRPr="00963871" w:rsidR="00963871" w:rsidTr="7B26BE8F" w14:paraId="395010C4" w14:textId="77777777">
        <w:trPr>
          <w:trHeight w:val="1152"/>
          <w:tblCellSpacing w:w="15" w:type="dxa"/>
        </w:trPr>
        <w:tc>
          <w:tcPr>
            <w:tcW w:w="32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64482194"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3E3D189C"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48E5FD73" w14:textId="77777777">
            <w:pPr>
              <w:spacing w:after="0" w:line="240" w:lineRule="auto"/>
              <w:rPr>
                <w:noProof w:val="0"/>
                <w:lang w:val="fr-CA"/>
              </w:rPr>
            </w:pPr>
            <w:r w:rsidRPr="7B26BE8F" w:rsidR="5DAD3632">
              <w:rPr>
                <w:noProof w:val="0"/>
                <w:sz w:val="24"/>
                <w:szCs w:val="24"/>
                <w:lang w:val="fr-CA"/>
              </w:rPr>
              <w:t> </w:t>
            </w:r>
          </w:p>
        </w:tc>
        <w:tc>
          <w:tcPr>
            <w:tcW w:w="32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63871" w:rsidR="00963871" w:rsidRDefault="00963871" w14:paraId="3A390A61" w14:textId="77777777">
            <w:pPr>
              <w:spacing w:after="0" w:line="240" w:lineRule="auto"/>
              <w:rPr>
                <w:noProof w:val="0"/>
                <w:lang w:val="fr-CA"/>
              </w:rPr>
            </w:pPr>
            <w:r w:rsidRPr="7B26BE8F" w:rsidR="5DAD3632">
              <w:rPr>
                <w:noProof w:val="0"/>
                <w:sz w:val="24"/>
                <w:szCs w:val="24"/>
                <w:lang w:val="fr-CA"/>
              </w:rPr>
              <w:t> </w:t>
            </w:r>
          </w:p>
        </w:tc>
      </w:tr>
    </w:tbl>
    <w:p w:rsidR="00963871" w:rsidP="7B26BE8F" w:rsidRDefault="00963871" w14:paraId="67E41CEC" w14:textId="77777777">
      <w:pPr>
        <w:rPr>
          <w:noProof w:val="0"/>
          <w:sz w:val="24"/>
          <w:szCs w:val="24"/>
          <w:lang w:val="fr-CA"/>
        </w:rPr>
      </w:pPr>
      <w:r w:rsidRPr="7B26BE8F" w:rsidR="5DAD3632">
        <w:rPr>
          <w:noProof w:val="0"/>
          <w:sz w:val="24"/>
          <w:szCs w:val="24"/>
          <w:lang w:val="fr-CA"/>
        </w:rPr>
        <w:t> </w:t>
      </w:r>
    </w:p>
    <w:p w:rsidRPr="00963871" w:rsidR="00AB2207" w:rsidP="00D87109" w:rsidRDefault="00AB2207" w14:paraId="2C576FA3" w14:textId="77777777">
      <w:pPr>
        <w:rPr>
          <w:sz w:val="24"/>
          <w:szCs w:val="24"/>
          <w:lang w:val="fr-CA"/>
        </w:rPr>
      </w:pPr>
    </w:p>
    <w:sectPr w:rsidRPr="00963871" w:rsidR="00AB2207" w:rsidSect="008B0019">
      <w:footerReference w:type="default" r:id="rId16"/>
      <w:headerReference w:type="first" r:id="rId17"/>
      <w:footerReference w:type="first" r:id="rId18"/>
      <w:pgSz w:w="15840" w:h="12240" w:orient="landscape"/>
      <w:pgMar w:top="720" w:right="1440" w:bottom="288" w:left="1440" w:header="720" w:footer="0" w:gutter="0"/>
      <w:pgNumType w:start="1"/>
      <w:cols w:space="720"/>
      <w:titlePg/>
      <w:docGrid w:linePitch="299"/>
      <w:headerReference w:type="default" r:id="R36381a27350948a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840" w:rsidRDefault="00063840" w14:paraId="1B129AFB" w14:textId="77777777">
      <w:pPr>
        <w:spacing w:after="0" w:line="240" w:lineRule="auto"/>
      </w:pPr>
      <w:r>
        <w:separator/>
      </w:r>
    </w:p>
  </w:endnote>
  <w:endnote w:type="continuationSeparator" w:id="0">
    <w:p w:rsidR="00063840" w:rsidRDefault="00063840" w14:paraId="5A68BE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096B" w:rsidR="002F096B" w:rsidP="002F096B" w:rsidRDefault="002F096B" w14:paraId="0CB89739" w14:textId="77777777">
    <w:pPr>
      <w:pStyle w:val="Footer"/>
      <w:tabs>
        <w:tab w:val="clear" w:pos="9360"/>
        <w:tab w:val="right" w:pos="12960"/>
      </w:tabs>
      <w:rPr>
        <w:lang w:val="en-US"/>
      </w:rPr>
    </w:pPr>
  </w:p>
  <w:p w:rsidR="002F096B" w:rsidP="002F096B" w:rsidRDefault="002F096B" w14:paraId="208E1178" w14:textId="77777777">
    <w:pPr>
      <w:pStyle w:val="Footer"/>
      <w:tabs>
        <w:tab w:val="clear" w:pos="9360"/>
        <w:tab w:val="right" w:pos="12960"/>
      </w:tabs>
      <w:rPr>
        <w:color w:val="008FBE"/>
      </w:rPr>
    </w:pPr>
    <w:r w:rsidRPr="002F096B">
      <w:rPr>
        <w:sz w:val="16"/>
        <w:lang w:val="en-US"/>
      </w:rPr>
      <w:t>© 2019 The Learning Bar Inc. All rights reserved.</w:t>
    </w:r>
    <w:r>
      <w:rPr>
        <w:sz w:val="16"/>
        <w:lang w:val="en-US"/>
      </w:rPr>
      <w:tab/>
    </w:r>
    <w:r>
      <w:rPr>
        <w:sz w:val="16"/>
        <w:lang w:val="en-US"/>
      </w:rPr>
      <w:tab/>
    </w:r>
    <w:r w:rsidR="004C071D">
      <w:rPr>
        <w:color w:val="008FBE"/>
      </w:rPr>
      <w:t>2</w:t>
    </w:r>
  </w:p>
  <w:p w:rsidR="002F096B" w:rsidP="002F096B" w:rsidRDefault="002F096B" w14:paraId="0540DF12" w14:textId="77777777">
    <w:pPr>
      <w:pStyle w:val="Footer"/>
      <w:tabs>
        <w:tab w:val="clear" w:pos="9360"/>
        <w:tab w:val="right" w:pos="12960"/>
      </w:tabs>
      <w:rPr>
        <w:color w:val="008FBE"/>
      </w:rPr>
    </w:pPr>
  </w:p>
  <w:p w:rsidRPr="002F096B" w:rsidR="003F7657" w:rsidP="002F096B" w:rsidRDefault="003F7657" w14:paraId="24BA6B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0EC" w:rsidP="00474A43" w:rsidRDefault="00FE00EC" w14:paraId="523B5DED" w14:textId="77777777">
    <w:pPr>
      <w:pStyle w:val="Footer"/>
      <w:rPr>
        <w:lang w:val="en-US"/>
      </w:rPr>
    </w:pPr>
    <w:bookmarkStart w:name="_Hlk533081706" w:id="6"/>
    <w:bookmarkStart w:name="_Hlk533081774" w:id="7"/>
  </w:p>
  <w:p w:rsidR="00474A43" w:rsidP="002F096B" w:rsidRDefault="00A32C84" w14:paraId="4A8F2C2E" w14:textId="77777777">
    <w:pPr>
      <w:pStyle w:val="Footer"/>
      <w:tabs>
        <w:tab w:val="clear" w:pos="9360"/>
        <w:tab w:val="right" w:pos="12960"/>
      </w:tabs>
      <w:rPr>
        <w:color w:val="008FBE"/>
      </w:rPr>
    </w:pPr>
    <w:bookmarkStart w:name="_Hlk1745863" w:id="8"/>
    <w:r w:rsidRPr="002F096B">
      <w:rPr>
        <w:sz w:val="16"/>
        <w:lang w:val="en-US"/>
      </w:rPr>
      <w:t>© 2019</w:t>
    </w:r>
    <w:r w:rsidRPr="002F096B" w:rsidR="00474A43">
      <w:rPr>
        <w:sz w:val="16"/>
        <w:lang w:val="en-US"/>
      </w:rPr>
      <w:t xml:space="preserve"> The Learning Bar Inc. All rights reserved.</w:t>
    </w:r>
    <w:bookmarkEnd w:id="6"/>
    <w:bookmarkEnd w:id="7"/>
    <w:bookmarkEnd w:id="8"/>
    <w:r w:rsidR="002F096B">
      <w:rPr>
        <w:sz w:val="16"/>
        <w:lang w:val="en-US"/>
      </w:rPr>
      <w:tab/>
    </w:r>
    <w:r w:rsidR="002F096B">
      <w:rPr>
        <w:sz w:val="16"/>
        <w:lang w:val="en-US"/>
      </w:rPr>
      <w:tab/>
    </w:r>
    <w:r w:rsidRPr="003F7657" w:rsidR="003F7657">
      <w:rPr>
        <w:color w:val="008FBE"/>
      </w:rPr>
      <w:t>1</w:t>
    </w:r>
  </w:p>
  <w:p w:rsidR="002F096B" w:rsidP="003F7657" w:rsidRDefault="002F096B" w14:paraId="719ECDCE" w14:textId="77777777">
    <w:pPr>
      <w:pStyle w:val="Footer"/>
      <w:jc w:val="right"/>
      <w:rPr>
        <w:color w:val="008FBE"/>
      </w:rPr>
    </w:pPr>
  </w:p>
  <w:p w:rsidRPr="003F7657" w:rsidR="002F096B" w:rsidP="003F7657" w:rsidRDefault="002F096B" w14:paraId="744A43A8" w14:textId="77777777">
    <w:pPr>
      <w:pStyle w:val="Footer"/>
      <w:jc w:val="right"/>
      <w:rPr>
        <w:color w:val="008F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840" w:rsidRDefault="00063840" w14:paraId="3EC06212" w14:textId="77777777">
      <w:pPr>
        <w:spacing w:after="0" w:line="240" w:lineRule="auto"/>
      </w:pPr>
      <w:r>
        <w:separator/>
      </w:r>
    </w:p>
  </w:footnote>
  <w:footnote w:type="continuationSeparator" w:id="0">
    <w:p w:rsidR="00063840" w:rsidRDefault="00063840" w14:paraId="29776E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B2207" w:rsidP="602056CA" w:rsidRDefault="005E2977" w14:paraId="5B222010" w14:textId="77777777">
    <w:pPr>
      <w:pBdr>
        <w:top w:val="nil" w:color="FF000000" w:sz="0" w:space="0"/>
        <w:left w:val="nil" w:color="FF000000" w:sz="0" w:space="0"/>
        <w:bottom w:val="nil" w:color="FF000000" w:sz="0" w:space="0"/>
        <w:right w:val="nil" w:color="FF000000" w:sz="0" w:space="0"/>
        <w:between w:val="nil" w:color="FF000000" w:sz="0" w:space="0"/>
      </w:pBdr>
      <w:tabs>
        <w:tab w:val="center" w:pos="4680"/>
        <w:tab w:val="right" w:pos="9360"/>
      </w:tabs>
      <w:spacing w:after="0" w:line="240" w:lineRule="auto"/>
      <w:rPr>
        <w:color w:val="000000"/>
      </w:rP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320"/>
      <w:gridCol w:w="4320"/>
      <w:gridCol w:w="4320"/>
    </w:tblGrid>
    <w:tr w:rsidR="602056CA" w:rsidTr="602056CA" w14:paraId="4BB8FF11">
      <w:trPr>
        <w:trHeight w:val="300"/>
      </w:trPr>
      <w:tc>
        <w:tcPr>
          <w:tcW w:w="4320" w:type="dxa"/>
          <w:tcMar/>
        </w:tcPr>
        <w:p w:rsidR="602056CA" w:rsidP="602056CA" w:rsidRDefault="602056CA" w14:paraId="671FF2FE" w14:textId="3141644C">
          <w:pPr>
            <w:pStyle w:val="Header"/>
            <w:bidi w:val="0"/>
            <w:ind w:left="-115"/>
            <w:jc w:val="left"/>
          </w:pPr>
        </w:p>
      </w:tc>
      <w:tc>
        <w:tcPr>
          <w:tcW w:w="4320" w:type="dxa"/>
          <w:tcMar/>
        </w:tcPr>
        <w:p w:rsidR="602056CA" w:rsidP="602056CA" w:rsidRDefault="602056CA" w14:paraId="4D913B04" w14:textId="0B7A537B">
          <w:pPr>
            <w:pStyle w:val="Header"/>
            <w:bidi w:val="0"/>
            <w:jc w:val="center"/>
          </w:pPr>
        </w:p>
      </w:tc>
      <w:tc>
        <w:tcPr>
          <w:tcW w:w="4320" w:type="dxa"/>
          <w:tcMar/>
        </w:tcPr>
        <w:p w:rsidR="602056CA" w:rsidP="602056CA" w:rsidRDefault="602056CA" w14:paraId="62534AE1" w14:textId="06BBCCEB">
          <w:pPr>
            <w:pStyle w:val="Header"/>
            <w:bidi w:val="0"/>
            <w:ind w:right="-115"/>
            <w:jc w:val="right"/>
          </w:pPr>
        </w:p>
      </w:tc>
    </w:tr>
  </w:tbl>
  <w:p w:rsidR="602056CA" w:rsidP="602056CA" w:rsidRDefault="602056CA" w14:paraId="1A7F7FE5" w14:textId="46B55771">
    <w:pPr>
      <w:pStyle w:val="Header"/>
      <w:bidi w:val="0"/>
    </w:pPr>
  </w:p>
</w:hdr>
</file>

<file path=word/intelligence2.xml><?xml version="1.0" encoding="utf-8"?>
<int2:intelligence xmlns:int2="http://schemas.microsoft.com/office/intelligence/2020/intelligence">
  <int2:observations>
    <int2:bookmark int2:bookmarkName="_Int_2Rzd8eLp" int2:invalidationBookmarkName="" int2:hashCode="r50/MFKZOjFr/Z" int2:id="OBug0D0J">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2AE"/>
    <w:multiLevelType w:val="multilevel"/>
    <w:tmpl w:val="93CC7BB8"/>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5205D46"/>
    <w:multiLevelType w:val="multilevel"/>
    <w:tmpl w:val="153A962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34B56F7"/>
    <w:multiLevelType w:val="hybridMultilevel"/>
    <w:tmpl w:val="25A81CD0"/>
    <w:lvl w:ilvl="0" w:tplc="B0F66F24">
      <w:start w:val="1"/>
      <w:numFmt w:val="decimal"/>
      <w:lvlText w:val="%1."/>
      <w:lvlJc w:val="left"/>
      <w:pPr>
        <w:ind w:left="732" w:hanging="372"/>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EF5D7F"/>
    <w:multiLevelType w:val="multilevel"/>
    <w:tmpl w:val="1FEE5370"/>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42767202"/>
    <w:multiLevelType w:val="multilevel"/>
    <w:tmpl w:val="0026E8C2"/>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78AC34D0"/>
    <w:multiLevelType w:val="multilevel"/>
    <w:tmpl w:val="BF34A72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910384627">
    <w:abstractNumId w:val="1"/>
  </w:num>
  <w:num w:numId="2" w16cid:durableId="1763380404">
    <w:abstractNumId w:val="5"/>
  </w:num>
  <w:num w:numId="3" w16cid:durableId="1143040221">
    <w:abstractNumId w:val="0"/>
  </w:num>
  <w:num w:numId="4" w16cid:durableId="1096439075">
    <w:abstractNumId w:val="4"/>
  </w:num>
  <w:num w:numId="5" w16cid:durableId="396325857">
    <w:abstractNumId w:val="3"/>
  </w:num>
  <w:num w:numId="6" w16cid:durableId="1410730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3C"/>
    <w:rsid w:val="00007651"/>
    <w:rsid w:val="000242D0"/>
    <w:rsid w:val="00046597"/>
    <w:rsid w:val="0005404A"/>
    <w:rsid w:val="0006072F"/>
    <w:rsid w:val="0006137C"/>
    <w:rsid w:val="00063840"/>
    <w:rsid w:val="000922A2"/>
    <w:rsid w:val="000C4FC8"/>
    <w:rsid w:val="00100F79"/>
    <w:rsid w:val="0015235F"/>
    <w:rsid w:val="001537FE"/>
    <w:rsid w:val="00182366"/>
    <w:rsid w:val="001B1F55"/>
    <w:rsid w:val="001C08F8"/>
    <w:rsid w:val="001C6B5A"/>
    <w:rsid w:val="001D3C1B"/>
    <w:rsid w:val="00202C8A"/>
    <w:rsid w:val="00207A35"/>
    <w:rsid w:val="002116C6"/>
    <w:rsid w:val="00225469"/>
    <w:rsid w:val="0022554E"/>
    <w:rsid w:val="002369B6"/>
    <w:rsid w:val="00261434"/>
    <w:rsid w:val="002639D0"/>
    <w:rsid w:val="00266FA0"/>
    <w:rsid w:val="002B48E9"/>
    <w:rsid w:val="002D4AF0"/>
    <w:rsid w:val="002F096B"/>
    <w:rsid w:val="0031121D"/>
    <w:rsid w:val="00327BBB"/>
    <w:rsid w:val="00351DF2"/>
    <w:rsid w:val="00352EE0"/>
    <w:rsid w:val="003939B4"/>
    <w:rsid w:val="003D1E3E"/>
    <w:rsid w:val="003F7657"/>
    <w:rsid w:val="00403951"/>
    <w:rsid w:val="004349DB"/>
    <w:rsid w:val="00474A43"/>
    <w:rsid w:val="00483963"/>
    <w:rsid w:val="004904EA"/>
    <w:rsid w:val="004A3D96"/>
    <w:rsid w:val="004C071D"/>
    <w:rsid w:val="004C6067"/>
    <w:rsid w:val="004D0DC3"/>
    <w:rsid w:val="004D51D9"/>
    <w:rsid w:val="004E42EE"/>
    <w:rsid w:val="004F1F10"/>
    <w:rsid w:val="004F47E3"/>
    <w:rsid w:val="00544B87"/>
    <w:rsid w:val="00567518"/>
    <w:rsid w:val="00582479"/>
    <w:rsid w:val="005902C1"/>
    <w:rsid w:val="005B6895"/>
    <w:rsid w:val="005C30B8"/>
    <w:rsid w:val="005C4CA8"/>
    <w:rsid w:val="005E2977"/>
    <w:rsid w:val="005F3462"/>
    <w:rsid w:val="0061758E"/>
    <w:rsid w:val="00655FEE"/>
    <w:rsid w:val="006B0CDC"/>
    <w:rsid w:val="006B3E03"/>
    <w:rsid w:val="006E2548"/>
    <w:rsid w:val="00700FE8"/>
    <w:rsid w:val="007068E7"/>
    <w:rsid w:val="0072074C"/>
    <w:rsid w:val="00737C29"/>
    <w:rsid w:val="00740FB9"/>
    <w:rsid w:val="007455B4"/>
    <w:rsid w:val="007824C2"/>
    <w:rsid w:val="007A3860"/>
    <w:rsid w:val="007E48B5"/>
    <w:rsid w:val="007F69D6"/>
    <w:rsid w:val="008022BD"/>
    <w:rsid w:val="00825B45"/>
    <w:rsid w:val="00855439"/>
    <w:rsid w:val="00866E43"/>
    <w:rsid w:val="00870D03"/>
    <w:rsid w:val="008954DF"/>
    <w:rsid w:val="008B0019"/>
    <w:rsid w:val="008F1324"/>
    <w:rsid w:val="009046AF"/>
    <w:rsid w:val="00904DA3"/>
    <w:rsid w:val="00914728"/>
    <w:rsid w:val="00927A3C"/>
    <w:rsid w:val="009453DF"/>
    <w:rsid w:val="0094557E"/>
    <w:rsid w:val="00960BFD"/>
    <w:rsid w:val="00963871"/>
    <w:rsid w:val="009A6254"/>
    <w:rsid w:val="009B61F6"/>
    <w:rsid w:val="009D5899"/>
    <w:rsid w:val="009E2D0B"/>
    <w:rsid w:val="009F3241"/>
    <w:rsid w:val="00A00721"/>
    <w:rsid w:val="00A32C84"/>
    <w:rsid w:val="00A45ECC"/>
    <w:rsid w:val="00A60965"/>
    <w:rsid w:val="00A94B5D"/>
    <w:rsid w:val="00AA3D13"/>
    <w:rsid w:val="00AB2207"/>
    <w:rsid w:val="00AC13AB"/>
    <w:rsid w:val="00AC19ED"/>
    <w:rsid w:val="00AD769A"/>
    <w:rsid w:val="00AE35CA"/>
    <w:rsid w:val="00B0763C"/>
    <w:rsid w:val="00B25F76"/>
    <w:rsid w:val="00B410E0"/>
    <w:rsid w:val="00B60DBD"/>
    <w:rsid w:val="00B80F9E"/>
    <w:rsid w:val="00BD09F9"/>
    <w:rsid w:val="00BD26FB"/>
    <w:rsid w:val="00BF0778"/>
    <w:rsid w:val="00BF1D50"/>
    <w:rsid w:val="00BF4AE1"/>
    <w:rsid w:val="00C064A7"/>
    <w:rsid w:val="00C13086"/>
    <w:rsid w:val="00C44CA0"/>
    <w:rsid w:val="00C45AAA"/>
    <w:rsid w:val="00C53B47"/>
    <w:rsid w:val="00C923B9"/>
    <w:rsid w:val="00C93EED"/>
    <w:rsid w:val="00C97696"/>
    <w:rsid w:val="00CB739F"/>
    <w:rsid w:val="00D1543C"/>
    <w:rsid w:val="00D227FF"/>
    <w:rsid w:val="00D332D1"/>
    <w:rsid w:val="00D36AA6"/>
    <w:rsid w:val="00D5068A"/>
    <w:rsid w:val="00D57859"/>
    <w:rsid w:val="00D637ED"/>
    <w:rsid w:val="00D87109"/>
    <w:rsid w:val="00D90349"/>
    <w:rsid w:val="00DE4C4E"/>
    <w:rsid w:val="00E109EF"/>
    <w:rsid w:val="00E2162D"/>
    <w:rsid w:val="00E24B13"/>
    <w:rsid w:val="00E53F4E"/>
    <w:rsid w:val="00E84DB7"/>
    <w:rsid w:val="00E9535A"/>
    <w:rsid w:val="00EB6C8D"/>
    <w:rsid w:val="00EF6FC4"/>
    <w:rsid w:val="00F14242"/>
    <w:rsid w:val="00F3641B"/>
    <w:rsid w:val="00F36A09"/>
    <w:rsid w:val="00F62155"/>
    <w:rsid w:val="00F63049"/>
    <w:rsid w:val="00F85A2F"/>
    <w:rsid w:val="00F96889"/>
    <w:rsid w:val="00FA54F9"/>
    <w:rsid w:val="00FA7E1F"/>
    <w:rsid w:val="00FB2EED"/>
    <w:rsid w:val="00FD1E68"/>
    <w:rsid w:val="00FD2971"/>
    <w:rsid w:val="00FD772A"/>
    <w:rsid w:val="00FE00EC"/>
    <w:rsid w:val="00FE484A"/>
    <w:rsid w:val="022024F9"/>
    <w:rsid w:val="04F733ED"/>
    <w:rsid w:val="0A477A0C"/>
    <w:rsid w:val="0B386430"/>
    <w:rsid w:val="15081C91"/>
    <w:rsid w:val="192AEBF3"/>
    <w:rsid w:val="1A5030A5"/>
    <w:rsid w:val="340F11EB"/>
    <w:rsid w:val="37200B90"/>
    <w:rsid w:val="37200B90"/>
    <w:rsid w:val="41B420EC"/>
    <w:rsid w:val="52248FB2"/>
    <w:rsid w:val="52248FB2"/>
    <w:rsid w:val="5DAD3632"/>
    <w:rsid w:val="602056CA"/>
    <w:rsid w:val="61B3259D"/>
    <w:rsid w:val="626CADE1"/>
    <w:rsid w:val="6411446A"/>
    <w:rsid w:val="64F7B3CC"/>
    <w:rsid w:val="6DCB3B84"/>
    <w:rsid w:val="6FCA4C36"/>
    <w:rsid w:val="6FCA4C36"/>
    <w:rsid w:val="7704DC7E"/>
    <w:rsid w:val="776FB723"/>
    <w:rsid w:val="78DF1F01"/>
    <w:rsid w:val="7B26BE8F"/>
    <w:rsid w:val="7CC23291"/>
    <w:rsid w:val="7F6BDE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6E675"/>
  <w15:docId w15:val="{7EA49025-61D0-45A0-845B-72A00126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455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55B4"/>
  </w:style>
  <w:style w:type="paragraph" w:styleId="Footer">
    <w:name w:val="footer"/>
    <w:basedOn w:val="Normal"/>
    <w:link w:val="FooterChar"/>
    <w:uiPriority w:val="99"/>
    <w:unhideWhenUsed/>
    <w:rsid w:val="007455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55B4"/>
  </w:style>
  <w:style w:type="paragraph" w:styleId="ListParagraph">
    <w:name w:val="List Paragraph"/>
    <w:basedOn w:val="Normal"/>
    <w:uiPriority w:val="34"/>
    <w:qFormat/>
    <w:rsid w:val="00327BBB"/>
    <w:pPr>
      <w:ind w:left="720"/>
      <w:contextualSpacing/>
    </w:pPr>
  </w:style>
  <w:style w:type="character" w:styleId="SubtitleChar" w:customStyle="1">
    <w:name w:val="Subtitle Char"/>
    <w:link w:val="Subtitle"/>
    <w:uiPriority w:val="11"/>
    <w:rsid w:val="001C08F8"/>
    <w:rPr>
      <w:rFonts w:ascii="Georgia" w:hAnsi="Georgia" w:eastAsia="Georgia" w:cs="Georgia"/>
      <w:i/>
      <w:color w:val="666666"/>
      <w:sz w:val="48"/>
      <w:szCs w:val="48"/>
    </w:rPr>
  </w:style>
  <w:style w:type="character" w:styleId="TitleChar" w:customStyle="1">
    <w:name w:val="Title Char"/>
    <w:link w:val="Title"/>
    <w:uiPriority w:val="10"/>
    <w:rsid w:val="001C08F8"/>
    <w:rPr>
      <w:b/>
      <w:sz w:val="72"/>
      <w:szCs w:val="72"/>
    </w:rPr>
  </w:style>
  <w:style w:type="table" w:styleId="TableGrid">
    <w:name w:val="Table Grid"/>
    <w:basedOn w:val="TableNormal"/>
    <w:uiPriority w:val="39"/>
    <w:rsid w:val="001C08F8"/>
    <w:pPr>
      <w:spacing w:after="0"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266FA0"/>
    <w:rPr>
      <w:sz w:val="16"/>
      <w:szCs w:val="16"/>
    </w:rPr>
  </w:style>
  <w:style w:type="paragraph" w:styleId="CommentText">
    <w:name w:val="annotation text"/>
    <w:basedOn w:val="Normal"/>
    <w:link w:val="CommentTextChar"/>
    <w:uiPriority w:val="99"/>
    <w:semiHidden/>
    <w:unhideWhenUsed/>
    <w:rsid w:val="00266FA0"/>
    <w:pPr>
      <w:spacing w:line="240" w:lineRule="auto"/>
    </w:pPr>
    <w:rPr>
      <w:sz w:val="20"/>
      <w:szCs w:val="20"/>
    </w:rPr>
  </w:style>
  <w:style w:type="character" w:styleId="CommentTextChar" w:customStyle="1">
    <w:name w:val="Comment Text Char"/>
    <w:basedOn w:val="DefaultParagraphFont"/>
    <w:link w:val="CommentText"/>
    <w:uiPriority w:val="99"/>
    <w:semiHidden/>
    <w:rsid w:val="00266FA0"/>
    <w:rPr>
      <w:sz w:val="20"/>
      <w:szCs w:val="20"/>
    </w:rPr>
  </w:style>
  <w:style w:type="paragraph" w:styleId="CommentSubject">
    <w:name w:val="annotation subject"/>
    <w:basedOn w:val="CommentText"/>
    <w:next w:val="CommentText"/>
    <w:link w:val="CommentSubjectChar"/>
    <w:uiPriority w:val="99"/>
    <w:semiHidden/>
    <w:unhideWhenUsed/>
    <w:rsid w:val="00266FA0"/>
    <w:rPr>
      <w:b/>
      <w:bCs/>
    </w:rPr>
  </w:style>
  <w:style w:type="character" w:styleId="CommentSubjectChar" w:customStyle="1">
    <w:name w:val="Comment Subject Char"/>
    <w:basedOn w:val="CommentTextChar"/>
    <w:link w:val="CommentSubject"/>
    <w:uiPriority w:val="99"/>
    <w:semiHidden/>
    <w:rsid w:val="00266FA0"/>
    <w:rPr>
      <w:b/>
      <w:bCs/>
      <w:sz w:val="20"/>
      <w:szCs w:val="20"/>
    </w:rPr>
  </w:style>
  <w:style w:type="paragraph" w:styleId="BalloonText">
    <w:name w:val="Balloon Text"/>
    <w:basedOn w:val="Normal"/>
    <w:link w:val="BalloonTextChar"/>
    <w:uiPriority w:val="99"/>
    <w:semiHidden/>
    <w:unhideWhenUsed/>
    <w:rsid w:val="00266FA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66FA0"/>
    <w:rPr>
      <w:rFonts w:ascii="Segoe UI" w:hAnsi="Segoe UI" w:cs="Segoe UI"/>
      <w:sz w:val="18"/>
      <w:szCs w:val="18"/>
    </w:rPr>
  </w:style>
  <w:style w:type="table" w:styleId="Style1" w:customStyle="1">
    <w:name w:val="Style1"/>
    <w:basedOn w:val="TableNormal"/>
    <w:uiPriority w:val="99"/>
    <w:rsid w:val="008022BD"/>
    <w:pPr>
      <w:spacing w:after="0" w:line="240" w:lineRule="auto"/>
    </w:pPr>
    <w:tblPr/>
  </w:style>
  <w:style w:type="paragraph" w:styleId="NormalWeb">
    <w:name w:val="Normal (Web)"/>
    <w:basedOn w:val="Normal"/>
    <w:uiPriority w:val="99"/>
    <w:semiHidden/>
    <w:unhideWhenUsed/>
    <w:rsid w:val="00963871"/>
    <w:pPr>
      <w:spacing w:before="100" w:beforeAutospacing="1" w:after="100" w:afterAutospacing="1" w:line="240" w:lineRule="auto"/>
    </w:pPr>
    <w:rPr>
      <w:rFonts w:ascii="Times New Roman" w:hAnsi="Times New Roman" w:cs="Times New Roman"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267511892" /><Relationship Type="http://schemas.openxmlformats.org/officeDocument/2006/relationships/image" Target="/media/image5.png" Id="rId466443998" /><Relationship Type="http://schemas.microsoft.com/office/2020/10/relationships/intelligence" Target="intelligence2.xml" Id="R60a23f0b13d747f1" /><Relationship Type="http://schemas.openxmlformats.org/officeDocument/2006/relationships/header" Target="header2.xml" Id="R36381a27350948a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na\Downloads\OurSCHOOL_Worksheet_Creating%20Excitement%20for%20Data%20Exploration%20(1)%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7BF9D48C769418B08CE21AAF4061F" ma:contentTypeVersion="13" ma:contentTypeDescription="Create a new document." ma:contentTypeScope="" ma:versionID="13016a0968fdd37d5102a3e742e6ed91">
  <xsd:schema xmlns:xsd="http://www.w3.org/2001/XMLSchema" xmlns:xs="http://www.w3.org/2001/XMLSchema" xmlns:p="http://schemas.microsoft.com/office/2006/metadata/properties" xmlns:ns2="37e010d2-56b1-4be4-8a4c-847549316d1b" xmlns:ns3="535b3271-7655-45cb-9909-268d14e9cded" targetNamespace="http://schemas.microsoft.com/office/2006/metadata/properties" ma:root="true" ma:fieldsID="d8c64bb876f6d70814387ba3bf053530" ns2:_="" ns3:_="">
    <xsd:import namespace="37e010d2-56b1-4be4-8a4c-847549316d1b"/>
    <xsd:import namespace="535b3271-7655-45cb-9909-268d14e9cd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010d2-56b1-4be4-8a4c-847549316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c1764d-239d-4327-91bf-96c93df02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b3271-7655-45cb-9909-268d14e9cd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8ea00-1802-4554-bee9-37d4f8482128}" ma:internalName="TaxCatchAll" ma:showField="CatchAllData" ma:web="535b3271-7655-45cb-9909-268d14e9c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e010d2-56b1-4be4-8a4c-847549316d1b">
      <Terms xmlns="http://schemas.microsoft.com/office/infopath/2007/PartnerControls"/>
    </lcf76f155ced4ddcb4097134ff3c332f>
    <TaxCatchAll xmlns="535b3271-7655-45cb-9909-268d14e9cded" xsi:nil="true"/>
  </documentManagement>
</p:properties>
</file>

<file path=customXml/itemProps1.xml><?xml version="1.0" encoding="utf-8"?>
<ds:datastoreItem xmlns:ds="http://schemas.openxmlformats.org/officeDocument/2006/customXml" ds:itemID="{DEB0FDF6-14BE-4713-9D68-0C7FCA45A5AF}"/>
</file>

<file path=customXml/itemProps2.xml><?xml version="1.0" encoding="utf-8"?>
<ds:datastoreItem xmlns:ds="http://schemas.openxmlformats.org/officeDocument/2006/customXml" ds:itemID="{FD03B870-A967-4621-82DF-7CC2819F1FC8}">
  <ds:schemaRefs>
    <ds:schemaRef ds:uri="http://schemas.microsoft.com/sharepoint/v3/contenttype/forms"/>
  </ds:schemaRefs>
</ds:datastoreItem>
</file>

<file path=customXml/itemProps3.xml><?xml version="1.0" encoding="utf-8"?>
<ds:datastoreItem xmlns:ds="http://schemas.openxmlformats.org/officeDocument/2006/customXml" ds:itemID="{5D96A50F-80A6-494C-BD38-94B30A760003}">
  <ds:schemaRefs>
    <ds:schemaRef ds:uri="http://schemas.microsoft.com/office/2006/metadata/properties"/>
    <ds:schemaRef ds:uri="http://schemas.microsoft.com/office/infopath/2007/PartnerControls"/>
    <ds:schemaRef ds:uri="37e010d2-56b1-4be4-8a4c-847549316d1b"/>
    <ds:schemaRef ds:uri="535b3271-7655-45cb-9909-268d14e9cd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OurSCHOOL_Worksheet_Creating Excitement for Data Exploration (1) (5)</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Lorna</dc:creator>
  <keywords>OS, Worksheets, TLB</keywords>
  <lastModifiedBy>Marjorie LaFrance</lastModifiedBy>
  <revision>7</revision>
  <lastPrinted>2019-02-20T22:37:00.0000000Z</lastPrinted>
  <dcterms:created xsi:type="dcterms:W3CDTF">2026-03-13T15:15:00.0000000Z</dcterms:created>
  <dcterms:modified xsi:type="dcterms:W3CDTF">2026-03-27T17:28:17.3928665Z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0x010100F567BF9D48C769418B08CE21AAF4061F</vt:lpwstr>
  </property>
  <property fmtid="{D5CDD505-2E9C-101B-9397-08002B2CF9AE}" pid="3" name="MediaServiceImageTags">
    <vt:lpwstr/>
  </property>
  <property fmtid="{D5CDD505-2E9C-101B-9397-08002B2CF9AE}" pid="4" name="docLang">
    <vt:lpwstr>fr</vt:lpwstr>
  </property>
</Properties>
</file>